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before="20" w:after="20" w:line="540" w:lineRule="exact"/>
        <w:jc w:val="left"/>
        <w:outlineLvl w:val="0"/>
        <w:rPr>
          <w:rFonts w:hint="default" w:ascii="宋体" w:hAnsi="宋体" w:cs="宋体"/>
          <w:b/>
          <w:color w:val="000000"/>
          <w:sz w:val="36"/>
          <w:szCs w:val="36"/>
          <w:lang w:val="en-US" w:eastAsia="zh-CN"/>
        </w:rPr>
      </w:pPr>
      <w:bookmarkStart w:id="0" w:name="_Toc19422"/>
      <w:bookmarkStart w:id="1" w:name="_Toc929"/>
      <w:bookmarkStart w:id="2" w:name="_Toc95223530"/>
      <w:r>
        <w:rPr>
          <w:rFonts w:hint="eastAsia" w:ascii="宋体" w:hAnsi="宋体" w:cs="宋体"/>
          <w:b/>
          <w:color w:val="000000"/>
          <w:sz w:val="36"/>
          <w:szCs w:val="36"/>
          <w:lang w:val="en-US" w:eastAsia="zh-CN"/>
        </w:rPr>
        <w:t>附件1：</w:t>
      </w:r>
    </w:p>
    <w:p>
      <w:pPr>
        <w:wordWrap w:val="0"/>
        <w:spacing w:before="20" w:after="20" w:line="540" w:lineRule="exact"/>
        <w:jc w:val="center"/>
        <w:outlineLvl w:val="0"/>
        <w:rPr>
          <w:rFonts w:hint="eastAsia" w:ascii="宋体" w:hAnsi="宋体" w:cs="宋体"/>
          <w:b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36"/>
          <w:szCs w:val="36"/>
          <w:lang w:val="en-US" w:eastAsia="zh-CN"/>
        </w:rPr>
        <w:t>安徽滁州技师学院新校区信息化建设项目一标段</w:t>
      </w:r>
    </w:p>
    <w:p>
      <w:pPr>
        <w:wordWrap w:val="0"/>
        <w:spacing w:before="20" w:after="20" w:line="540" w:lineRule="exact"/>
        <w:jc w:val="center"/>
        <w:outlineLvl w:val="0"/>
        <w:rPr>
          <w:rFonts w:hint="eastAsia" w:ascii="宋体" w:hAnsi="宋体" w:cs="宋体"/>
          <w:b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36"/>
          <w:szCs w:val="36"/>
          <w:lang w:val="en-US" w:eastAsia="zh-CN"/>
        </w:rPr>
        <w:t>技术标准和要求</w:t>
      </w:r>
    </w:p>
    <w:p>
      <w:pPr>
        <w:wordWrap w:val="0"/>
        <w:spacing w:line="600" w:lineRule="auto"/>
        <w:outlineLvl w:val="1"/>
        <w:rPr>
          <w:rFonts w:hint="eastAsia" w:ascii="宋体" w:hAnsi="宋体" w:cs="宋体"/>
          <w:bCs/>
          <w:color w:val="000000"/>
          <w:szCs w:val="21"/>
          <w:lang w:val="en-US" w:eastAsia="zh-CN"/>
        </w:rPr>
      </w:pPr>
    </w:p>
    <w:p>
      <w:pPr>
        <w:wordWrap w:val="0"/>
        <w:spacing w:line="600" w:lineRule="auto"/>
        <w:outlineLvl w:val="1"/>
        <w:rPr>
          <w:rFonts w:hint="eastAsia" w:ascii="宋体" w:hAnsi="宋体" w:eastAsia="宋体" w:cs="宋体"/>
          <w:bCs/>
          <w:color w:val="000000"/>
          <w:szCs w:val="21"/>
          <w:lang w:val="en-US" w:eastAsia="zh-CN"/>
        </w:rPr>
      </w:pP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1.</w:t>
      </w:r>
      <w:r>
        <w:rPr>
          <w:rFonts w:hint="eastAsia" w:ascii="宋体" w:hAnsi="宋体" w:cs="宋体"/>
          <w:bCs/>
          <w:color w:val="000000"/>
          <w:szCs w:val="21"/>
        </w:rPr>
        <w:t>《建筑工程施工质量验收统一标准》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 xml:space="preserve"> GB50300-2001</w:t>
      </w:r>
    </w:p>
    <w:p>
      <w:pPr>
        <w:wordWrap w:val="0"/>
        <w:spacing w:line="600" w:lineRule="auto"/>
        <w:outlineLvl w:val="1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2.《建筑装修工程质量验收规范》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Cs w:val="21"/>
        </w:rPr>
        <w:t>GB50210-2001</w:t>
      </w:r>
    </w:p>
    <w:p>
      <w:pPr>
        <w:wordWrap w:val="0"/>
        <w:spacing w:line="600" w:lineRule="auto"/>
        <w:outlineLvl w:val="1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</w:rPr>
        <w:t>3.《建筑给水排水采暖工程施工质量验收规范》GB50242-2002</w:t>
      </w:r>
    </w:p>
    <w:p>
      <w:pPr>
        <w:wordWrap w:val="0"/>
        <w:spacing w:line="600" w:lineRule="auto"/>
        <w:outlineLvl w:val="1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4.</w:t>
      </w:r>
      <w:r>
        <w:rPr>
          <w:rFonts w:hint="eastAsia" w:ascii="宋体" w:hAnsi="宋体" w:cs="宋体"/>
          <w:bCs/>
          <w:color w:val="000000"/>
          <w:szCs w:val="21"/>
        </w:rPr>
        <w:t>《建筑电气工程施工质量验收规范》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Cs w:val="21"/>
        </w:rPr>
        <w:t>GB50303-2002</w:t>
      </w:r>
    </w:p>
    <w:p>
      <w:pPr>
        <w:wordWrap w:val="0"/>
        <w:spacing w:line="600" w:lineRule="auto"/>
        <w:outlineLvl w:val="1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5.</w:t>
      </w:r>
      <w:r>
        <w:rPr>
          <w:rFonts w:hint="eastAsia" w:ascii="宋体" w:hAnsi="宋体" w:cs="宋体"/>
          <w:bCs/>
          <w:color w:val="000000"/>
          <w:szCs w:val="21"/>
        </w:rPr>
        <w:t>《建筑设计防火规范》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Cs w:val="21"/>
        </w:rPr>
        <w:t>GBJ16-87</w:t>
      </w:r>
    </w:p>
    <w:p>
      <w:pPr>
        <w:wordWrap w:val="0"/>
        <w:spacing w:line="600" w:lineRule="auto"/>
        <w:outlineLvl w:val="1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6.</w:t>
      </w:r>
      <w:r>
        <w:rPr>
          <w:rFonts w:hint="eastAsia" w:ascii="宋体" w:hAnsi="宋体" w:cs="宋体"/>
          <w:bCs/>
          <w:color w:val="000000"/>
          <w:szCs w:val="21"/>
        </w:rPr>
        <w:t>《室外排水设计规范》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Cs w:val="21"/>
        </w:rPr>
        <w:t>GB50014-2006</w:t>
      </w:r>
    </w:p>
    <w:p>
      <w:pPr>
        <w:wordWrap w:val="0"/>
        <w:spacing w:line="600" w:lineRule="auto"/>
        <w:outlineLvl w:val="1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7</w:t>
      </w:r>
      <w:r>
        <w:rPr>
          <w:rFonts w:hint="eastAsia" w:ascii="宋体" w:hAnsi="宋体" w:cs="宋体"/>
          <w:bCs/>
          <w:color w:val="000000"/>
          <w:szCs w:val="21"/>
        </w:rPr>
        <w:t>.《给水排水工程结构设计规范》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Cs w:val="21"/>
        </w:rPr>
        <w:t>GBJ69-84</w:t>
      </w:r>
    </w:p>
    <w:p>
      <w:pPr>
        <w:wordWrap w:val="0"/>
        <w:spacing w:line="600" w:lineRule="auto"/>
        <w:outlineLvl w:val="1"/>
        <w:rPr>
          <w:rFonts w:hint="eastAsia" w:ascii="宋体" w:hAnsi="宋体" w:eastAsia="宋体" w:cs="宋体"/>
          <w:bCs/>
          <w:color w:val="000000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Cs w:val="21"/>
          <w:lang w:val="en-US" w:eastAsia="zh-CN"/>
        </w:rPr>
        <w:t>8.《智慧校园总体框架》 GB/T 36342-2018</w:t>
      </w:r>
    </w:p>
    <w:p>
      <w:pPr>
        <w:wordWrap w:val="0"/>
        <w:spacing w:line="600" w:lineRule="auto"/>
        <w:outlineLvl w:val="1"/>
        <w:rPr>
          <w:rFonts w:hint="eastAsia" w:ascii="宋体" w:hAnsi="宋体" w:eastAsia="宋体" w:cs="宋体"/>
          <w:bCs/>
          <w:color w:val="000000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Cs w:val="21"/>
          <w:lang w:val="en-US" w:eastAsia="zh-CN"/>
        </w:rPr>
        <w:t>9.《职业院校数字校园规范》（教职成函〔2020〕3号）</w:t>
      </w:r>
    </w:p>
    <w:p>
      <w:pPr>
        <w:wordWrap w:val="0"/>
        <w:spacing w:line="600" w:lineRule="auto"/>
        <w:outlineLvl w:val="1"/>
        <w:rPr>
          <w:rFonts w:hint="eastAsia" w:ascii="宋体" w:hAnsi="宋体" w:eastAsia="宋体" w:cs="宋体"/>
          <w:bCs/>
          <w:color w:val="000000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Cs w:val="21"/>
          <w:lang w:val="en-US" w:eastAsia="zh-CN"/>
        </w:rPr>
        <w:t>10.职业教育与成人教育司和教育部教育管理信息中心 《全国职业教育智慧大脑院校中台中职数据标准及接口规范》（2023年6月）</w:t>
      </w:r>
    </w:p>
    <w:p>
      <w:pPr>
        <w:wordWrap w:val="0"/>
        <w:spacing w:line="600" w:lineRule="auto"/>
        <w:outlineLvl w:val="1"/>
        <w:rPr>
          <w:rFonts w:hint="default" w:ascii="宋体" w:hAnsi="宋体" w:eastAsia="宋体" w:cs="宋体"/>
          <w:bCs/>
          <w:color w:val="000000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Cs w:val="21"/>
          <w:lang w:val="en-US" w:eastAsia="zh-CN"/>
        </w:rPr>
        <w:t>11.《安徽省中等职业学校智慧校园建设评价指标体系（试行）》（皖教职成〔2020〕4号）</w:t>
      </w:r>
    </w:p>
    <w:p>
      <w:pPr>
        <w:wordWrap w:val="0"/>
        <w:spacing w:line="600" w:lineRule="auto"/>
        <w:outlineLvl w:val="1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12.</w:t>
      </w:r>
      <w:r>
        <w:rPr>
          <w:rFonts w:hint="eastAsia" w:ascii="宋体" w:hAnsi="宋体" w:cs="宋体"/>
          <w:bCs/>
          <w:color w:val="000000"/>
          <w:szCs w:val="21"/>
        </w:rPr>
        <w:t>其他现行的有关规范、行业标准</w:t>
      </w:r>
    </w:p>
    <w:p>
      <w:pPr>
        <w:wordWrap w:val="0"/>
        <w:spacing w:line="600" w:lineRule="auto"/>
        <w:outlineLvl w:val="1"/>
        <w:rPr>
          <w:rFonts w:hint="eastAsia" w:ascii="宋体" w:hAnsi="宋体" w:cs="宋体"/>
          <w:bCs/>
          <w:color w:val="000000"/>
          <w:szCs w:val="21"/>
        </w:rPr>
      </w:pP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13.</w:t>
      </w:r>
      <w:r>
        <w:rPr>
          <w:rFonts w:hint="eastAsia" w:ascii="宋体" w:hAnsi="宋体" w:cs="宋体"/>
          <w:bCs/>
          <w:color w:val="000000"/>
          <w:szCs w:val="21"/>
        </w:rPr>
        <w:t>如国家对上述标准规范有调整，按最新标准和规范为准</w:t>
      </w:r>
    </w:p>
    <w:p>
      <w:pPr>
        <w:wordWrap w:val="0"/>
        <w:spacing w:line="600" w:lineRule="auto"/>
        <w:outlineLvl w:val="1"/>
        <w:rPr>
          <w:rFonts w:hint="eastAsia" w:ascii="宋体" w:hAnsi="宋体" w:cs="宋体"/>
          <w:color w:val="000000"/>
        </w:rPr>
      </w:pPr>
      <w:r>
        <w:rPr>
          <w:rFonts w:hint="eastAsia" w:ascii="宋体" w:hAnsi="宋体" w:cs="宋体"/>
          <w:bCs/>
          <w:color w:val="000000"/>
          <w:szCs w:val="21"/>
        </w:rPr>
        <w:t>1</w:t>
      </w:r>
      <w:r>
        <w:rPr>
          <w:rFonts w:hint="eastAsia" w:ascii="宋体" w:hAnsi="宋体" w:cs="宋体"/>
          <w:bCs/>
          <w:color w:val="000000"/>
          <w:szCs w:val="21"/>
          <w:lang w:val="en-US" w:eastAsia="zh-CN"/>
        </w:rPr>
        <w:t>4.</w:t>
      </w:r>
      <w:r>
        <w:rPr>
          <w:rFonts w:hint="eastAsia" w:ascii="宋体" w:hAnsi="宋体" w:cs="宋体"/>
          <w:bCs/>
          <w:color w:val="000000"/>
          <w:szCs w:val="21"/>
        </w:rPr>
        <w:t>主要材料设备品牌推荐一览表</w:t>
      </w:r>
    </w:p>
    <w:p>
      <w:pPr>
        <w:wordWrap w:val="0"/>
        <w:spacing w:before="20" w:after="20" w:line="540" w:lineRule="exact"/>
        <w:jc w:val="center"/>
        <w:outlineLvl w:val="0"/>
        <w:rPr>
          <w:rFonts w:hint="eastAsia" w:ascii="宋体" w:hAnsi="宋体" w:cs="宋体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  <w:lang w:val="en-US" w:eastAsia="zh-CN"/>
        </w:rPr>
        <w:t>主要材料设备</w:t>
      </w:r>
      <w:r>
        <w:rPr>
          <w:rFonts w:hint="eastAsia" w:ascii="宋体" w:hAnsi="宋体" w:cs="宋体"/>
          <w:b/>
          <w:color w:val="000000"/>
          <w:sz w:val="36"/>
          <w:szCs w:val="36"/>
        </w:rPr>
        <w:t>品牌推荐表</w:t>
      </w:r>
      <w:bookmarkEnd w:id="0"/>
      <w:bookmarkEnd w:id="1"/>
      <w:bookmarkEnd w:id="2"/>
    </w:p>
    <w:p>
      <w:pPr>
        <w:pStyle w:val="2"/>
        <w:rPr>
          <w:rFonts w:hint="eastAsia"/>
        </w:rPr>
      </w:pPr>
    </w:p>
    <w:tbl>
      <w:tblPr>
        <w:tblStyle w:val="6"/>
        <w:tblW w:w="492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2235"/>
        <w:gridCol w:w="2533"/>
        <w:gridCol w:w="2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22"/>
                <w:szCs w:val="22"/>
                <w:lang w:bidi="ar"/>
              </w:rPr>
              <w:t>系统或材料设备名称</w:t>
            </w: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22"/>
                <w:szCs w:val="22"/>
                <w:lang w:bidi="ar"/>
              </w:rPr>
              <w:t>主要设备名称</w:t>
            </w:r>
          </w:p>
        </w:tc>
        <w:tc>
          <w:tcPr>
            <w:tcW w:w="1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22"/>
                <w:szCs w:val="22"/>
                <w:lang w:bidi="ar"/>
              </w:rPr>
              <w:t>推荐品牌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default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33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信息网络系统</w:t>
            </w: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核心交换机、汇聚交换机、BRAS设备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、网络管理系统、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无线控制器、AP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等</w:t>
            </w:r>
          </w:p>
        </w:tc>
        <w:tc>
          <w:tcPr>
            <w:tcW w:w="1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 H3C、华为、中兴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3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认证计费</w:t>
            </w:r>
          </w:p>
        </w:tc>
        <w:tc>
          <w:tcPr>
            <w:tcW w:w="1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城市热点、深澜软件、Panabit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3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综合布线系统</w:t>
            </w: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面板、六类非屏蔽模块、六类非屏蔽双绞线、单模万兆光缆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24口配线架、12口光纤配线架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、24口光纤配线架、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机柜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、语音网关、电源线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等线缆</w:t>
            </w:r>
          </w:p>
        </w:tc>
        <w:tc>
          <w:tcPr>
            <w:tcW w:w="1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普天天际、一舟、烽火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3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室外立杆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、室外防水箱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等</w:t>
            </w:r>
          </w:p>
        </w:tc>
        <w:tc>
          <w:tcPr>
            <w:tcW w:w="1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海康威视、大华、天地伟业、宇视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信息安全系统</w:t>
            </w: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下一代防火墙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、上网行为管理、WAF、VPN、态势感知平台、潜伏威胁探针、入侵检测系统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等网络安全设备</w:t>
            </w:r>
          </w:p>
        </w:tc>
        <w:tc>
          <w:tcPr>
            <w:tcW w:w="1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深信服、天融信、华为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3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机房工程（含UPS）</w:t>
            </w: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UPS主机、功率模块、精密空调、服务器机柜、精密配电柜、电源分配单元（PDU)、封闭冷通道系统、机柜式微模块</w:t>
            </w:r>
          </w:p>
        </w:tc>
        <w:tc>
          <w:tcPr>
            <w:tcW w:w="1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 xml:space="preserve"> 施耐德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维谛、华为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蓄电池</w:t>
            </w:r>
          </w:p>
        </w:tc>
        <w:tc>
          <w:tcPr>
            <w:tcW w:w="1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圣阳、理士、双登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动环监控系统</w:t>
            </w:r>
          </w:p>
        </w:tc>
        <w:tc>
          <w:tcPr>
            <w:tcW w:w="1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龙控、施耐德、维谛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3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消防报警及灭火系统</w:t>
            </w:r>
          </w:p>
        </w:tc>
        <w:tc>
          <w:tcPr>
            <w:tcW w:w="1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蚌埠依爱、海湾、北大青鸟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ordWrap w:val="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其它设备及辅材</w:t>
            </w:r>
          </w:p>
        </w:tc>
        <w:tc>
          <w:tcPr>
            <w:tcW w:w="1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国产优质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1" w:type="pc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ordWrap w:val="0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一卡通系统</w:t>
            </w: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一卡通管理平台、一卡通系统应用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、出入口控制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系统设备、智能水控、能源管理、消费管理、考勤管理、宿舍管理、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支付终端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人脸库系统</w:t>
            </w:r>
          </w:p>
        </w:tc>
        <w:tc>
          <w:tcPr>
            <w:tcW w:w="1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银通物联、科曼、睿易通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校园广播系统</w:t>
            </w: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控制主机、寻呼话筒、IP网络功放终端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、壁挂音箱、前置放大器、纯后级功放</w:t>
            </w:r>
          </w:p>
        </w:tc>
        <w:tc>
          <w:tcPr>
            <w:tcW w:w="1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ITC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迪士普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ASIP安思柏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航天广电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信息引导及发布系统</w:t>
            </w:r>
          </w:p>
        </w:tc>
        <w:tc>
          <w:tcPr>
            <w:tcW w:w="1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LED全彩屏、75寸液晶电视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视频处理器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 w:bidi="ar"/>
              </w:rPr>
              <w:t>、信息播放盒、屏体支撑结构</w:t>
            </w:r>
          </w:p>
        </w:tc>
        <w:tc>
          <w:tcPr>
            <w:tcW w:w="1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艾比森、洲明、利亚德</w:t>
            </w:r>
          </w:p>
        </w:tc>
      </w:tr>
    </w:tbl>
    <w:p>
      <w:pPr>
        <w:wordWrap w:val="0"/>
        <w:spacing w:line="360" w:lineRule="auto"/>
        <w:rPr>
          <w:rFonts w:hint="eastAsia"/>
        </w:rPr>
      </w:pPr>
      <w:r>
        <w:rPr>
          <w:rFonts w:hint="eastAsia"/>
        </w:rPr>
        <w:t>注：1. 投标人在投标时也可以提供其它品牌，但须在投标文件中提供证明材料，证明拟选用品牌在产品质量、档次、性能、颜色、规格参数、进货渠道等应优于参考品牌，经专家评审确认后列入《品牌推荐表》，中标后必须使用《品牌推荐表》中品牌和要求进行采购。未在投标文件中注明且未提供相关技术参数、业绩，或经评标委员会评审未通过的，中标后只能从招标人推荐品牌中进行选择，价格不予调整。</w:t>
      </w:r>
    </w:p>
    <w:p>
      <w:pPr>
        <w:wordWrap w:val="0"/>
        <w:spacing w:line="360" w:lineRule="auto"/>
        <w:rPr>
          <w:rFonts w:hint="eastAsia"/>
        </w:rPr>
      </w:pPr>
      <w:r>
        <w:rPr>
          <w:rFonts w:hint="eastAsia"/>
        </w:rPr>
        <w:t>2.包括不限于上述的主要材料，发包人可改为甲供、甲控乙供形式，承包人不得以任何理由拒绝，并不予补偿任何费</w:t>
      </w:r>
      <w:bookmarkStart w:id="3" w:name="_GoBack"/>
      <w:bookmarkEnd w:id="3"/>
      <w:r>
        <w:rPr>
          <w:rFonts w:hint="eastAsia"/>
        </w:rPr>
        <w:t>用。</w:t>
      </w:r>
    </w:p>
    <w:p>
      <w:pPr>
        <w:wordWrap w:val="0"/>
        <w:spacing w:line="360" w:lineRule="auto"/>
        <w:rPr>
          <w:rFonts w:hint="eastAsia"/>
        </w:rPr>
      </w:pPr>
      <w:r>
        <w:rPr>
          <w:rFonts w:hint="eastAsia"/>
        </w:rPr>
        <w:t>3.所有的材料、设备，包括不在上表的材料、设备，均需遵循环保原则，否则发包人要求承包人的材料、设备予以更换、返工，承包人在投标时已考虑在投标报价内，不予补偿费用，造成工期延误的由承包人承担。</w:t>
      </w:r>
    </w:p>
    <w:p>
      <w:pPr>
        <w:wordWrap w:val="0"/>
        <w:spacing w:line="360" w:lineRule="auto"/>
        <w:rPr>
          <w:rFonts w:hint="eastAsia"/>
        </w:rPr>
      </w:pPr>
      <w:r>
        <w:rPr>
          <w:rFonts w:hint="eastAsia"/>
        </w:rPr>
        <w:t>4.工程所需材料、设备由中标人自行采购。投标人对主要材料和设备报价时应充分考虑工程的实际需要，慎重报价。在购置主要材料和设备前必须书面报监理和业主确认，经业主及监理公司实地察看得到监理和业主的书面认可后方可采购。</w:t>
      </w:r>
    </w:p>
    <w:p>
      <w:pPr>
        <w:wordWrap w:val="0"/>
        <w:spacing w:line="360" w:lineRule="auto"/>
        <w:rPr>
          <w:rFonts w:hint="eastAsia"/>
        </w:rPr>
      </w:pPr>
      <w:r>
        <w:rPr>
          <w:rFonts w:hint="eastAsia"/>
        </w:rPr>
        <w:t>5.承包人必须确保所有材料和设备的质量，材料和设备的质量必须符合设计要求和相关规范的规定，对于项目特征描述不全的，必须满足国家标准（含推荐标准）或行业标准中的较优标准。所有发包人推荐的主材产品均为原厂家生产，不得采用贴牌或仿冒产品，否则，视为违约。</w:t>
      </w:r>
    </w:p>
    <w:p>
      <w:pPr>
        <w:wordWrap w:val="0"/>
        <w:spacing w:line="360" w:lineRule="auto"/>
        <w:rPr>
          <w:rFonts w:hint="eastAsia"/>
        </w:rPr>
      </w:pPr>
      <w:r>
        <w:rPr>
          <w:rFonts w:hint="eastAsia"/>
        </w:rPr>
        <w:t>6、项目实施过程中，招标人有权对参考品牌做出调整，具体以发包人要求为准。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NmU4MzA4ODJiMDVlNTkzOTY2NmJiODIyYmY4NGMifQ=="/>
  </w:docVars>
  <w:rsids>
    <w:rsidRoot w:val="00000000"/>
    <w:rsid w:val="070F27A4"/>
    <w:rsid w:val="18AA4D56"/>
    <w:rsid w:val="18E20D47"/>
    <w:rsid w:val="35F052C8"/>
    <w:rsid w:val="558B10B8"/>
    <w:rsid w:val="63A257B4"/>
    <w:rsid w:val="64690BF8"/>
    <w:rsid w:val="6BD3082C"/>
    <w:rsid w:val="7FB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3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envelope return"/>
    <w:basedOn w:val="1"/>
    <w:next w:val="5"/>
    <w:qFormat/>
    <w:uiPriority w:val="0"/>
    <w:pPr>
      <w:snapToGrid w:val="0"/>
    </w:pPr>
    <w:rPr>
      <w:rFonts w:ascii="Arial" w:hAnsi="Arial"/>
    </w:rPr>
  </w:style>
  <w:style w:type="paragraph" w:styleId="5">
    <w:name w:val="toc 7"/>
    <w:basedOn w:val="1"/>
    <w:next w:val="1"/>
    <w:autoRedefine/>
    <w:qFormat/>
    <w:uiPriority w:val="39"/>
    <w:pPr>
      <w:ind w:left="126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2024-03-26T06:22:00Z</dcterms:created>
  <dc:creator>Administrator</dc:creator>
  <cp:lastModifiedBy>Ayufan</cp:lastModifiedBy>
  <dcterms:modified xsi:type="dcterms:W3CDTF">2024-04-01T02:48:15Z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EE26696DAC494FFC987025724C7C7C0C_13</vt:lpwstr>
  </property>
</Properties>
</file>