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spacing w:before="300" w:beforeAutospacing="0" w:after="0" w:afterAutospacing="0"/>
        <w:ind w:left="0" w:right="0"/>
      </w:pPr>
      <w:r>
        <w:rPr>
          <w:shd w:val="clear" w:fill="FFFFFF"/>
        </w:rPr>
        <w:t>第一章 总则</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第一条　为了规范招标投标活动，保护国家利益、社会公共利益和招标投标活动当事人的合法权益，提高经济效益，保证项目质量，制定本法。</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第二条　在中华人民共和国境内进行招标投标活动，适用本法。</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第三条　在中华人民共和国境内进行下列工程建设项目包括项目的勘察、设计、施工、监理以及与工程建设有关的重要设备、材料等的采购，必须进行招标:</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（一）大型基础设施、公用事业等关系社会公共利益、公众安全的项目；</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（二）全部或者部分使用国有资金投资或者国家融资的项目；</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（三）使用国际组织或者外国政府贷款、援助资金的项目。</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前款所列项目的具体范围和规模标准，由国务院发展计划部门会同国务院有关部门制订，报国务院批准。</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法律或者国务院对必须进行招标的其他项目的范围有规定的，依照其规定。</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第四条　任何单位和个人不得将依法必须进行招标的项目化整为零或者以其他任何方式规避招标。</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第五条　招标投标活动应当遵循公开、公平、公正和诚实信用的原则。</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第六条　依法必须进行招标的项目，其招标投标活动不受地区或者部门的限制。任何单位和个人不得违法限制或者排斥本地区、本系统以外的法人或者其他组织参加投标，不得以任何方式非法干涉招标投标活动。</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第七条　招标投标活动及其当事人应当接受依法实施的监督。</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有关行政监督部门依法对招标投标活动实施监督，依法查处招标投标活动中的违法行为。</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对招标投标活动的行政监督及有关部门的具体职权划分，由国务院规定。</w:t>
      </w:r>
    </w:p>
    <w:p>
      <w:pPr>
        <w:pStyle w:val="2"/>
        <w:keepNext w:val="0"/>
        <w:keepLines w:val="0"/>
        <w:widowControl/>
        <w:suppressLineNumbers w:val="0"/>
        <w:spacing w:before="300" w:beforeAutospacing="0" w:after="0" w:afterAutospacing="0"/>
        <w:ind w:left="0" w:right="0"/>
      </w:pPr>
      <w:r>
        <w:rPr>
          <w:shd w:val="clear" w:fill="FFFFFF"/>
        </w:rPr>
        <w:t>第二章 招标</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第八条　招标人是依照本法规定提出招标项目、进行招标的法人或者其他组织。</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第九条　招标项目按照国家有关规定需要履行项目审批手续的，应当先履行审批手续，取得批准。</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招标人应当有进行招标项目的相应资金或者资金来源已经落实，并应当在招标文件中如实载明。</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第十条　招标分为公开招标和邀请招标。</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公开招标，是指招标人以招标公告的方式邀请不特定的法人或者其他组织投标。</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邀请招标，是指招标人以投标邀请书的方式邀请特定的法人或者其他组织投标。</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第十一条　国务院发展计划部门确定的国家重点项目和省、自治区、直辖市人民政府确定的地方重点项目不适宜公开招标的，经国务院发展计划部门或者省、自治区、直辖市人民政府批准，可以进行邀请招标。</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第十二条　招标人有权自行选择招标代理机构，委托其办理招标事宜。任何单位和个人不得以任何方式为招标人指定招标代理机构。</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招标人具有编制招标文件和组织评标能力的，可以自行办理招标事宜。任何单位和个人不得强制其委托招标代理机构办理招标事宜。</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依法必须进行招标的项目，招标人自行办理招标事宜的，应当向有关行政监督部门备案。</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第十三条　招标代理机构是依法设立、从事招标代理业务并提供相关服务的社会中介组织。</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招标代理机构应当具备下列条件:</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（一）有从事招标代理业务的营业场所和相应资金；</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（二）有能够编制招标文件和组织评标的相应专业力量。</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第十四条　招标代理机构与行政机关和其他国家机关不得存在隶属关系或者其他利益关系。</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第十五条　招标代理机构应当在招标人委托的范围内办理招标事宜，并遵守本法关于招标人的规定。</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第十六条　招标人采用公开招标方式的，应当发布招标公告。依法必须进行招标的项目的招标公告，应当通过国家指定的报刊、信息网络或者其他媒介发布。</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招标公告应当载明招标人的名称和地址、招标项目的性质、数量、实施地点和时间以及获取招标文件的办法等事项。</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第十七条　招标人采用邀请招标方式的，应当向三个以上具备承担招标项目的能力、资信良好的特定的法人或者其他组织发出投标邀请书。</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投标邀请书应当载明本法第十六条第二款规定的事项。</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第十八条　招标人可以根据招标项目本身的要求，在招标公告或者投标邀请书中，要求潜在投标人提供有关资质证明文件和业绩情况，并对潜在投标人进行资格审查；国家对投标人的资格条件有规定的，依照其规定。</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招标人不得以不合理的条件限制或者排斥潜在投标人，不得对潜在投标人实行歧视待遇。</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第十九条　招标人应当根据招标项目的特点和需要编制招标文件。招标文件应当包括招标项目的技术要求、对投标人资格审查的标准、投标报价要求和评标标准等所有实质性要求和条件以及拟签订合同的主要条款。</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国家对招标项目的技术、标准有规定的，招标人应当按照其规定在招标文件中提出相应要求。</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招标项目需要划分标段、确定工期的，招标人应当合理划分标段、确定工期，并在招标文件中载明。</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第二十条　招标文件不得要求或者标明特定的生产供应者以及含有倾向或者排斥潜在投标人的其他内容。</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第二十一条　招标人根据招标项目的具体情况，可以组织潜在投标人踏勘项目现场。</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第二十二条　招标人不得向他人透露已获取招标文件的潜在投标人的名称、数量以及可能影响公平竞争的有关招标投标的其他情况。</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招标人设有标底的，标底必须保密。</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第二十三条　招标人对已发出的招标文件进行必要的澄清或者修改的，应当在招标文件要求提交投标文件截止时间至少十五日前，以书面形式通知所有招标文件收受人。该澄清或者修改的内容为招标文件的组成部分。</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第二十四条　招标人应当确定投标人编制投标文件所需要的合理时间；但是，依法必须进行招标的项目，自招标文件开始发出之日起至投标人提交投标文件截止之日止，最短不得少于二十日。</w:t>
      </w:r>
    </w:p>
    <w:p>
      <w:pPr>
        <w:pStyle w:val="2"/>
        <w:keepNext w:val="0"/>
        <w:keepLines w:val="0"/>
        <w:widowControl/>
        <w:suppressLineNumbers w:val="0"/>
        <w:spacing w:before="300" w:beforeAutospacing="0" w:after="0" w:afterAutospacing="0"/>
        <w:ind w:left="0" w:right="0"/>
      </w:pPr>
      <w:r>
        <w:rPr>
          <w:shd w:val="clear" w:fill="FFFFFF"/>
        </w:rPr>
        <w:t>第三章 投标</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第二十五条　投标人是响应招标、参加投标竞争的法人或者其他组织。</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依法招标的科研项目允许个人参加投标的，投标的个人适用本法有关投标人的规定。</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第二十六条　投标人应当具备承担招标项目的能力；国家有关规定对投标人资格条件或者招标文件对投标人资格条件有规定的，投标人应当具备规定的资格条件。</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第二十七条　投标人应当按照招标文件的要求编制投标文件。投标文件应当对招标文件提出的实质性要求和条件作出响应。</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招标项目属于建设施工的，投标文件的内容应当包括拟派出的项目负责人与主要技术人员的简历、业绩和拟用于完成招标项目的机械设备等。</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第二十八条　投标人应当在招标文件要求提交投标文件的截止时间前，将投标文件送达投标地点。招标人收到投标文件后，应当签收保存，不得开启。投标人少于三个的，招标人应当依照本法重新招标。</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在招标文件要求提交投标文件的截止时间后送达的投标文件，招标人应当拒收。</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第二十九条　投标人在招标文件要求提交投标文件的截止时间前，可以补充、修改或者撤回已提交的投标文件，并书面通知招标人。补充、修改的内容为投标文件的组成部分。</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第三十条　投标人根据招标文件载明的项目实际情况，拟在中标后将中标项目的部分非主体、非关键性工作进行分包的，应当在投标文件中载明。</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第三十一条　两个以上法人或者其他组织可以组成一个联合体，以一个投标人的身份共同投标。</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联合体各方均应当具备承担招标项目的相应能力；国家有关规定或者招标文件对投标人资格条件有规定的，联合体各方均应当具备规定的相应资格条件。由同一专业的单位组成的联合体，按照资质等级较低的单位确定资质等级。</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联合体各方应当签订共同投标协议，明确约定各方拟承担的工作和责任，并将共同投标协议连同投标文件一并提交招标人。联合体中标的，联合体各方应当共同与招标人签订合同，就中标项目向招标人承担连带责任。</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招标人不得强制投标人组成联合体共同投标，不得限制投标人之间的竞争。</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第三十二条　投标人不得相互串通投标报价，不得排挤其他投标人的公平竞争，损害招标人或者其他投标人的合法权益。</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投标人不得与招标人串通投标，损害国家利益、社会公共利益或者他人的合法权益。</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禁止投标人以向招标人或者评标委员会成员行贿的手段谋取中标。</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第三十三条　投标人不得以低于成本的报价竞标，也不得以他人名义投标或者以其他方式弄虚作假，骗取中标。</w:t>
      </w:r>
    </w:p>
    <w:p>
      <w:pPr>
        <w:pStyle w:val="2"/>
        <w:keepNext w:val="0"/>
        <w:keepLines w:val="0"/>
        <w:widowControl/>
        <w:suppressLineNumbers w:val="0"/>
        <w:spacing w:before="300" w:beforeAutospacing="0" w:after="0" w:afterAutospacing="0"/>
        <w:ind w:left="0" w:right="0"/>
      </w:pPr>
      <w:r>
        <w:rPr>
          <w:shd w:val="clear" w:fill="FFFFFF"/>
        </w:rPr>
        <w:t>第四章 开标、评标和中标</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第三十四条　开标应当在招标文件确定的提交投标文件截止时间的同一时间公开进行；开标地点应当为招标文件中预先确定的地点。</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第三十五条　开标由招标人主持，邀请所有投标人参加。</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第三十六条　开标时，由投标人或者其推选的代表检查投标文件的密封情况，也可以由招标人委托的公证机构检查并公证；经确认无误后，由工作人员当众拆封，宣读投标人名称、投标价格和投标文件的其他主要内容。</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招标人在招标文件要求提交投标文件的截止时间前收到的所有投标文件，开标时都应当当众予以拆封、宣读。</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开标过程应当记录，并存档备查。</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第三十七条　评标由招标人依法组建的评标委员会负责。</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依法必须进行招标的项目，其评标委员会由招标人的代表和有关技术、经济等方面的专家组成，成员人数为五人以上单数，其中技术、经济等方面的专家不得少于成员总数的三分之二。</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前款专家应当从事相关领域工作满八年并具有高级职称或者具有同等专业水平，由招标人从国务院有关部门或者省、自治区、直辖市人民政府有关部门提供的专家名册或者招标代理机构的专家库内的相关专业的专家名单中确定；一般招标项目可以采取随机抽取方式，特殊招标项目可以由招标人直接确定。</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与投标人有利害关系的人不得进入相关项目的评标委员会；已经进入的应当更换。</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评标委员会成员的名单在中标结果确定前应当保密。</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第三十八条　招标人应当采取必要的措施，保证评标在严格保密的情况下进行。</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任何单位和个人不得非法干预、影响评标的过程和结果。</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第三十九条　评标委员会可以要求投标人对投标文件中含义不明确的内容作必要的澄清或者说明，但是澄清或者说明不得超出投标文件的范围或者改变投标文件的实质性内容。</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第四十条　评标委员会应当按照招标文件确定的评标标准和方法，对投标文件进行评审和比较；设有标底的，应当参考标底。评标委员会完成评标后，应当向招标人提出书面评标报告，并推荐合格的中标候选人。</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招标人根据评标委员会提出的书面评标报告和推荐的中标候选人确定中标人。招标人也可以授权评标委员会直接确定中标人。</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国务院对特定招标项目的评标有特别规定的，从其规定。</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第四十一条　中标人的投标应当符合下列条件之一:</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（一）能够最大限度地满足招标文件中规定的各项综合评价标准；</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（二）能够满足招标文件的实质性要求，并且经评审的投标价格最低；但是投标价格低于成本的除外。</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第四十二条　评标委员会经评审，认为所有投标都不符合招标文件要求的，可以否决所有投标。</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依法必须进行招标的项目的所有投标被否决的，招标人应当依照本法重新招标。</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第四十三条　在确定中标人前，招标人不得与投标人就投标价格、投标方案等实质性内容进行谈判。</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第四十四条　评标委员会成员应当客观、公正地履行职务，遵守职业道德，对所提出的评审意见承担个人责任。</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评标委员会成员不得私下接触投标人，不得收受投标人的财物或者其他好处。</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评标委员会成员和参与评标的有关工作人员不得透露对投标文件的评审和比较、中标候选人的推荐情况以及与评标有关的其他情况。</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第四十五条　中标人确定后，招标人应当向中标人发出中标通知书，并同时将中标结果通知所有未中标的投标人。</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中标通知书对招标人和中标人具有法律效力。中标通知书发出后，招标人改变中标结果的，或者中标人放弃中标项目的，应当依法承担法律责任。</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第四十六条　招标人和中标人应当自中标通知书发出之日起三十日内，按照招标文件和中标人的投标文件订立书面合同。招标人和中标人不得再行订立背离合同实质性内容的其他协议。</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招标文件要求中标人提交履约保证金的，中标人应当提交。</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第四十七条　依法必须进行招标的项目，招标人应当自确定中标人之日起十五日内，向有关行政监督部门提交招标投标情况的书面报告。</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第四十八条　中标人应当按照合同约定履行义务，完成中标项目。中标人不得向他人转让中标项目，也不得将中标项目肢解后分别向他人转让。</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中标人按照合同约定或者经招标人同意，可以将中标项目的部分非主体、非关键性工作分包给他人完成。接受分包的人应当具备相应的资格条件，并不得再次分包。</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中标人应当就分包项目向招标人负责，接受分包的人就分包项目承担连带责任。</w:t>
      </w:r>
    </w:p>
    <w:p>
      <w:pPr>
        <w:pStyle w:val="2"/>
        <w:keepNext w:val="0"/>
        <w:keepLines w:val="0"/>
        <w:widowControl/>
        <w:suppressLineNumbers w:val="0"/>
        <w:spacing w:before="300" w:beforeAutospacing="0" w:after="0" w:afterAutospacing="0"/>
        <w:ind w:left="0" w:right="0"/>
      </w:pPr>
      <w:r>
        <w:rPr>
          <w:shd w:val="clear" w:fill="FFFFFF"/>
        </w:rPr>
        <w:t>第五章 法律责任</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第四十九条　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第五十条　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前款所列行为影响中标结果的，中标无效。</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第五十一条　招标人以不合理的条件限制或者排斥潜在投标人的，对潜在投标人实行歧视待遇的，强制要求投标人组成联合体共同投标的，或者限制投标人之间竞争的，责令改正，可以处一万元以上五万元以下的罚款。</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第五十二条　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前款所列行为影响中标结果的，中标无效。</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第五十三条　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第五十四条　投标人以他人名义投标或者以其他方式弄虚作假，骗取中标的，中标无效，给招标人造成损失的，依法承担赔偿责任；构成犯罪的，依法追究刑事责任。</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第五十五条　依法必须进行招标的项目，招标人违反本法规定，与投标人就投标价格、投标方案等实质性内容进行谈判的，给予警告，对单位直接负责的主管人员和其他直接责任人员依法给予处分。</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前款所列行为影响中标结果的，中标无效。</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第五十六条　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第五十七条　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第五十八条　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第五十九条　招标人与中标人不按照招标文件和中标人的投标文件订立合同的，或者招标人、中标人订立背离合同实质性内容的协议的，责令改正；可以处中标项目金额千分之五以上千分之十以下的罚款。</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第六十条　中标人不履行与招标人订立的合同的，履约保证金不予退还，给招标人造成的损失超过履约保证金数额的，还应当对超过部分予以赔偿；没有提交履约保证金的，应当对招标人的损失承担赔偿责任。</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中标人不按照与招标人订立的合同履行义务，情节严重的，取消其二年至五年内参加依法必须进行招标的项目的投标资格并予以公告，直至由工商行政管理机关吊销营业执照。</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因不可抗力不能履行合同的，不适用前两款规定。</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第六十一条　本章规定的行政处罚，由国务院规定的有关行政监督部门决定。本法已对实施行政处罚的机关作出规定的除外。</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第六十二条　任何单位违反本法规定，限制或者排斥本地区、本系统以外的法人或者其他组织参加投标的，为招标人指定招标代理机构的，强制招标人委托招标代理机构办理招标事宜的，或者以其他方式干涉招标投标活动的，责令改正；对单位直接负责的主管人员和其他直接责任人员依法给予警告、记过、记大过的处分，情节较重的，依法给予降级、撤职、开除的处分。</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个人利用职权进行前款违法行为的，依照前款规定追究责任。</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第六十三条　对招标投标活动依法负有行政监督职责的国家机关工作人员徇私舞弊、滥用职权或者玩忽职守，构成犯罪的，依法追究刑事责任；不构成犯罪的，依法给予行政处分。</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第六十四条　依法必须进行招标的项目违反本法规定，中标无效的，应当依照本法规定的中标条件从其余投标人中重新确定中标人或者依照本法重新进行招标。</w:t>
      </w:r>
    </w:p>
    <w:p>
      <w:pPr>
        <w:pStyle w:val="2"/>
        <w:keepNext w:val="0"/>
        <w:keepLines w:val="0"/>
        <w:widowControl/>
        <w:suppressLineNumbers w:val="0"/>
        <w:spacing w:before="300" w:beforeAutospacing="0" w:after="0" w:afterAutospacing="0"/>
        <w:ind w:left="0" w:right="0"/>
      </w:pPr>
      <w:bookmarkStart w:id="0" w:name="_GoBack"/>
      <w:bookmarkEnd w:id="0"/>
      <w:r>
        <w:rPr>
          <w:shd w:val="clear" w:fill="FFFFFF"/>
        </w:rPr>
        <w:t>第六章 附则</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第六十五条　投标人和其他利害关系人认为招标投标活动不符合本法有关规定的，有权向招标人提出异议或者依法向有关行政监督部门投诉。</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第六十六条　涉及国家安全、国家秘密、抢险救灾或者属于利用扶贫资金实行以工代赈、需要使用农民工等特殊情况，不适宜进行招标的项目，按照国家有关规定可以不进行招标。</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第六十七条　使用国际组织或者外国政府贷款、援助资金的项目进行招标，贷款方、资金提供方对招标投标的具体条件和程序有不同规定的，可以适用其规定，但违背中华人民共和国的社会公共利益的除外。</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第六十八条　本法自2000年1月1日起施行。</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baikeFont_layout">
    <w:altName w:val="Segoe Print"/>
    <w:panose1 w:val="00000000000000000000"/>
    <w:charset w:val="00"/>
    <w:family w:val="auto"/>
    <w:pitch w:val="default"/>
    <w:sig w:usb0="00000000" w:usb1="00000000" w:usb2="00000000" w:usb3="00000000" w:csb0="00000000" w:csb1="00000000"/>
  </w:font>
  <w:font w:name="baikeFont_css">
    <w:altName w:val="Segoe Print"/>
    <w:panose1 w:val="00000000000000000000"/>
    <w:charset w:val="00"/>
    <w:family w:val="auto"/>
    <w:pitch w:val="default"/>
    <w:sig w:usb0="00000000" w:usb1="00000000" w:usb2="00000000" w:usb3="00000000" w:csb0="00000000" w:csb1="00000000"/>
  </w:font>
  <w:font w:name="swiper-icons">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0D255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color w:val="333333"/>
      <w:kern w:val="0"/>
      <w:sz w:val="24"/>
      <w:szCs w:val="24"/>
      <w:lang w:val="en-US" w:eastAsia="zh-CN" w:bidi="ar"/>
    </w:rPr>
  </w:style>
  <w:style w:type="character" w:default="1" w:styleId="3">
    <w:name w:val="Default Paragraph Font"/>
    <w:semiHidden/>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character" w:styleId="4">
    <w:name w:val="Strong"/>
    <w:basedOn w:val="3"/>
    <w:qFormat/>
    <w:uiPriority w:val="0"/>
    <w:rPr>
      <w:b/>
    </w:rPr>
  </w:style>
  <w:style w:type="character" w:styleId="5">
    <w:name w:val="FollowedHyperlink"/>
    <w:basedOn w:val="3"/>
    <w:uiPriority w:val="0"/>
    <w:rPr>
      <w:color w:val="338DE6"/>
      <w:u w:val="none"/>
    </w:rPr>
  </w:style>
  <w:style w:type="character" w:styleId="6">
    <w:name w:val="Emphasis"/>
    <w:basedOn w:val="3"/>
    <w:qFormat/>
    <w:uiPriority w:val="0"/>
  </w:style>
  <w:style w:type="character" w:styleId="7">
    <w:name w:val="HTML Definition"/>
    <w:basedOn w:val="3"/>
    <w:uiPriority w:val="0"/>
  </w:style>
  <w:style w:type="character" w:styleId="8">
    <w:name w:val="HTML Variable"/>
    <w:basedOn w:val="3"/>
    <w:uiPriority w:val="0"/>
  </w:style>
  <w:style w:type="character" w:styleId="9">
    <w:name w:val="Hyperlink"/>
    <w:basedOn w:val="3"/>
    <w:uiPriority w:val="0"/>
    <w:rPr>
      <w:color w:val="338DE6"/>
      <w:u w:val="none"/>
    </w:rPr>
  </w:style>
  <w:style w:type="character" w:styleId="10">
    <w:name w:val="HTML Code"/>
    <w:basedOn w:val="3"/>
    <w:uiPriority w:val="0"/>
    <w:rPr>
      <w:rFonts w:hint="default" w:ascii="monospace" w:hAnsi="monospace" w:eastAsia="monospace" w:cs="monospace"/>
      <w:sz w:val="21"/>
      <w:szCs w:val="21"/>
    </w:rPr>
  </w:style>
  <w:style w:type="character" w:styleId="11">
    <w:name w:val="HTML Cite"/>
    <w:basedOn w:val="3"/>
    <w:uiPriority w:val="0"/>
  </w:style>
  <w:style w:type="character" w:styleId="12">
    <w:name w:val="HTML Keyboard"/>
    <w:basedOn w:val="3"/>
    <w:uiPriority w:val="0"/>
    <w:rPr>
      <w:rFonts w:ascii="monospace" w:hAnsi="monospace" w:eastAsia="monospace" w:cs="monospace"/>
      <w:sz w:val="21"/>
      <w:szCs w:val="21"/>
    </w:rPr>
  </w:style>
  <w:style w:type="character" w:styleId="13">
    <w:name w:val="HTML Sample"/>
    <w:basedOn w:val="3"/>
    <w:uiPriority w:val="0"/>
    <w:rPr>
      <w:rFonts w:hint="default" w:ascii="monospace" w:hAnsi="monospace" w:eastAsia="monospace" w:cs="monospace"/>
      <w:sz w:val="21"/>
      <w:szCs w:val="21"/>
    </w:rPr>
  </w:style>
  <w:style w:type="character" w:customStyle="1" w:styleId="15">
    <w:name w:val="trumbowyg-msg-error"/>
    <w:basedOn w:val="3"/>
    <w:uiPriority w:val="0"/>
    <w:rPr>
      <w:color w:val="E74C3C"/>
    </w:rPr>
  </w:style>
  <w:style w:type="character" w:customStyle="1" w:styleId="16">
    <w:name w:val="trumbowyg-msg-error1"/>
    <w:basedOn w:val="3"/>
    <w:uiPriority w:val="0"/>
    <w:rPr>
      <w:color w:val="E74C3C"/>
    </w:rPr>
  </w:style>
  <w:style w:type="character" w:customStyle="1" w:styleId="17">
    <w:name w:val="one-lines"/>
    <w:basedOn w:val="3"/>
    <w:uiPriority w:val="0"/>
  </w:style>
  <w:style w:type="character" w:customStyle="1" w:styleId="18">
    <w:name w:val="two-lines"/>
    <w:basedOn w:val="3"/>
    <w:uiPriority w:val="0"/>
  </w:style>
  <w:style w:type="character" w:customStyle="1" w:styleId="19">
    <w:name w:val="hidden4"/>
    <w:basedOn w:val="3"/>
    <w:uiPriority w:val="0"/>
    <w:rPr>
      <w:vanish/>
    </w:rPr>
  </w:style>
  <w:style w:type="character" w:customStyle="1" w:styleId="20">
    <w:name w:val="nth-child(1)"/>
    <w:basedOn w:val="3"/>
    <w:uiPriority w:val="0"/>
  </w:style>
  <w:style w:type="character" w:customStyle="1" w:styleId="21">
    <w:name w:val="nth-child(1)1"/>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王文勇</dc:creator>
  <cp:lastModifiedBy>王文勇</cp:lastModifiedBy>
  <dcterms:modified xsi:type="dcterms:W3CDTF">2023-09-25T08:34:35Z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