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1"/>
        <w:rPr>
          <w:b/>
          <w:spacing w:val="-70"/>
          <w:sz w:val="72"/>
          <w:szCs w:val="72"/>
        </w:rPr>
      </w:pPr>
      <w:r>
        <w:rPr>
          <w:b/>
          <w:spacing w:val="-70"/>
          <w:sz w:val="72"/>
          <w:szCs w:val="72"/>
        </w:rPr>
        <w:drawing>
          <wp:inline distT="0" distB="0" distL="0" distR="0">
            <wp:extent cx="5248910" cy="1199515"/>
            <wp:effectExtent l="19050" t="0" r="8890" b="0"/>
            <wp:docPr id="1" name="图片 0" descr="公司LOGO2018版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0" descr="公司LOGO2018版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19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560"/>
        <w:jc w:val="center"/>
        <w:rPr>
          <w:rFonts w:ascii="黑体" w:hAnsi="宋体" w:eastAsia="黑体"/>
          <w:sz w:val="28"/>
          <w:szCs w:val="28"/>
        </w:rPr>
      </w:pPr>
      <w:r>
        <w:rPr>
          <w:rFonts w:hint="eastAsia" w:ascii="黑体" w:hAnsi="宋体" w:eastAsia="黑体"/>
          <w:sz w:val="28"/>
          <w:szCs w:val="28"/>
        </w:rPr>
        <w:t>江苏国泰新点软件有限公司</w:t>
      </w:r>
    </w:p>
    <w:p>
      <w:pPr>
        <w:jc w:val="center"/>
        <w:rPr>
          <w:rFonts w:ascii="Arial" w:hAnsi="Arial" w:cs="Arial"/>
          <w:b/>
          <w:color w:val="0000FF"/>
          <w:szCs w:val="21"/>
        </w:rPr>
      </w:pPr>
      <w:r>
        <w:rPr>
          <w:rFonts w:hint="eastAsia" w:ascii="宋体" w:hAnsi="宋体"/>
          <w:szCs w:val="21"/>
        </w:rPr>
        <w:t>地址：江苏张家港市经济开发区</w:t>
      </w:r>
      <w:r>
        <w:rPr>
          <w:rFonts w:ascii="Arial" w:hAnsi="Arial" w:cs="Arial"/>
          <w:b/>
          <w:color w:val="0000FF"/>
          <w:szCs w:val="21"/>
        </w:rPr>
        <w:t>(http://www.epint.</w:t>
      </w:r>
      <w:r>
        <w:rPr>
          <w:rFonts w:hint="eastAsia" w:ascii="Arial" w:hAnsi="Arial" w:cs="Arial"/>
          <w:b/>
          <w:color w:val="0000FF"/>
          <w:szCs w:val="21"/>
        </w:rPr>
        <w:t>com.cn</w:t>
      </w:r>
      <w:r>
        <w:rPr>
          <w:rFonts w:ascii="Arial" w:hAnsi="Arial" w:cs="Arial"/>
          <w:b/>
          <w:color w:val="0000FF"/>
          <w:szCs w:val="21"/>
        </w:rPr>
        <w:t>)</w:t>
      </w:r>
    </w:p>
    <w:p>
      <w:pPr>
        <w:jc w:val="center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电话：</w:t>
      </w:r>
      <w:r>
        <w:rPr>
          <w:rFonts w:hint="eastAsia"/>
          <w:szCs w:val="21"/>
        </w:rPr>
        <w:t>4009980000</w:t>
      </w: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</w:pPr>
    </w:p>
    <w:p>
      <w:pPr>
        <w:ind w:firstLine="0" w:firstLineChars="0"/>
        <w:jc w:val="center"/>
        <w:rPr>
          <w:b/>
          <w:sz w:val="52"/>
          <w:szCs w:val="52"/>
        </w:rPr>
      </w:pPr>
      <w:r>
        <w:rPr>
          <w:rFonts w:hint="eastAsia"/>
          <w:b/>
          <w:sz w:val="52"/>
          <w:szCs w:val="52"/>
        </w:rPr>
        <w:t>滁州市公共资源交易不见面开标系统</w:t>
      </w:r>
      <w:r>
        <w:rPr>
          <w:b/>
          <w:sz w:val="52"/>
          <w:szCs w:val="52"/>
        </w:rPr>
        <w:t>-投标人操作手册</w:t>
      </w: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360"/>
      </w:pPr>
    </w:p>
    <w:p>
      <w:pPr>
        <w:pStyle w:val="57"/>
        <w:ind w:firstLine="0" w:firstLineChars="0"/>
      </w:pPr>
    </w:p>
    <w:p>
      <w:pPr>
        <w:spacing w:line="240" w:lineRule="auto"/>
        <w:ind w:firstLine="0" w:firstLineChars="0"/>
        <w:jc w:val="center"/>
        <w:rPr>
          <w:b/>
          <w:spacing w:val="200"/>
          <w:sz w:val="32"/>
        </w:rPr>
      </w:pPr>
      <w:r>
        <w:rPr>
          <w:b/>
          <w:spacing w:val="200"/>
          <w:sz w:val="32"/>
        </w:rPr>
        <w:t>目录</w:t>
      </w:r>
    </w:p>
    <w:p>
      <w:pPr>
        <w:pStyle w:val="28"/>
        <w:tabs>
          <w:tab w:val="right" w:leader="dot" w:pos="8266"/>
        </w:tabs>
      </w:pP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TOC \o "4-5" \h \z \t "标题 1,1,标题 2,2,标题 3,3"</w:instrText>
      </w:r>
      <w:r>
        <w:rPr>
          <w:rFonts w:cs="Times New Roman"/>
        </w:rPr>
        <w:fldChar w:fldCharType="separate"/>
      </w: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HYPERLINK \l _Toc21799 </w:instrText>
      </w:r>
      <w:r>
        <w:rPr>
          <w:rFonts w:cs="Times New Roman"/>
        </w:rPr>
        <w:fldChar w:fldCharType="separate"/>
      </w:r>
      <w:r>
        <w:rPr>
          <w:rFonts w:hint="eastAsia"/>
          <w:lang w:val="en-US"/>
        </w:rPr>
        <w:t xml:space="preserve">一、 </w:t>
      </w:r>
      <w:r>
        <w:t>系统前期准备</w:t>
      </w:r>
      <w:r>
        <w:tab/>
      </w:r>
      <w:r>
        <w:fldChar w:fldCharType="begin"/>
      </w:r>
      <w:r>
        <w:instrText xml:space="preserve"> PAGEREF _Toc21799 \h </w:instrText>
      </w:r>
      <w:r>
        <w:fldChar w:fldCharType="separate"/>
      </w:r>
      <w:r>
        <w:t>3</w:t>
      </w:r>
      <w:r>
        <w:fldChar w:fldCharType="end"/>
      </w:r>
      <w:r>
        <w:rPr>
          <w:rFonts w:cs="Times New Roman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_Toc31373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1.1、 </w:t>
      </w:r>
      <w:r>
        <w:t>驱动安装说明</w:t>
      </w:r>
      <w:r>
        <w:tab/>
      </w:r>
      <w:r>
        <w:fldChar w:fldCharType="begin"/>
      </w:r>
      <w:r>
        <w:instrText xml:space="preserve"> PAGEREF _Toc31373 \h </w:instrText>
      </w:r>
      <w:r>
        <w:fldChar w:fldCharType="separate"/>
      </w:r>
      <w:r>
        <w:t>3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_Toc9348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1.1.1、 </w:t>
      </w:r>
      <w:r>
        <w:t>安装驱动程序</w:t>
      </w:r>
      <w:r>
        <w:tab/>
      </w:r>
      <w:r>
        <w:fldChar w:fldCharType="begin"/>
      </w:r>
      <w:r>
        <w:instrText xml:space="preserve"> PAGEREF _Toc9348 \h </w:instrText>
      </w:r>
      <w:r>
        <w:fldChar w:fldCharType="separate"/>
      </w:r>
      <w:r>
        <w:t>3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_Toc30101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1.2、 </w:t>
      </w:r>
      <w:r>
        <w:t>检测工具</w:t>
      </w:r>
      <w:r>
        <w:tab/>
      </w:r>
      <w:r>
        <w:fldChar w:fldCharType="begin"/>
      </w:r>
      <w:r>
        <w:instrText xml:space="preserve"> PAGEREF _Toc30101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_Toc32048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1.2.1、 </w:t>
      </w:r>
      <w:r>
        <w:t>启动检测工具</w:t>
      </w:r>
      <w:r>
        <w:tab/>
      </w:r>
      <w:r>
        <w:fldChar w:fldCharType="begin"/>
      </w:r>
      <w:r>
        <w:instrText xml:space="preserve"> PAGEREF _Toc32048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_Toc32488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1.2.2、 </w:t>
      </w:r>
      <w:r>
        <w:rPr>
          <w:rFonts w:hint="eastAsia"/>
        </w:rPr>
        <w:t>一键</w:t>
      </w:r>
      <w:r>
        <w:t>检测</w:t>
      </w:r>
      <w:r>
        <w:tab/>
      </w:r>
      <w:r>
        <w:fldChar w:fldCharType="begin"/>
      </w:r>
      <w:r>
        <w:instrText xml:space="preserve"> PAGEREF _Toc32488 \h </w:instrText>
      </w:r>
      <w:r>
        <w:fldChar w:fldCharType="separate"/>
      </w:r>
      <w:r>
        <w:t>6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_Toc21849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1.3、 </w:t>
      </w:r>
      <w:r>
        <w:t>浏览器配置</w:t>
      </w:r>
      <w:r>
        <w:tab/>
      </w:r>
      <w:r>
        <w:fldChar w:fldCharType="begin"/>
      </w:r>
      <w:r>
        <w:instrText xml:space="preserve"> PAGEREF _Toc21849 \h </w:instrText>
      </w:r>
      <w:r>
        <w:fldChar w:fldCharType="separate"/>
      </w:r>
      <w:r>
        <w:t>7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_Toc4009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1.3.1、 </w:t>
      </w:r>
      <w:r>
        <w:t>Internet选项</w:t>
      </w:r>
      <w:r>
        <w:tab/>
      </w:r>
      <w:r>
        <w:fldChar w:fldCharType="begin"/>
      </w:r>
      <w:r>
        <w:instrText xml:space="preserve"> PAGEREF _Toc4009 \h </w:instrText>
      </w:r>
      <w:r>
        <w:fldChar w:fldCharType="separate"/>
      </w:r>
      <w:r>
        <w:t>7</w:t>
      </w:r>
      <w:r>
        <w:fldChar w:fldCharType="end"/>
      </w:r>
      <w:r>
        <w:rPr>
          <w:szCs w:val="20"/>
        </w:rPr>
        <w:fldChar w:fldCharType="end"/>
      </w:r>
    </w:p>
    <w:p>
      <w:pPr>
        <w:pStyle w:val="20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_Toc30334 </w:instrText>
      </w:r>
      <w:r>
        <w:rPr>
          <w:szCs w:val="20"/>
        </w:rPr>
        <w:fldChar w:fldCharType="separate"/>
      </w:r>
      <w:r>
        <w:rPr>
          <w:rFonts w:hint="eastAsia"/>
          <w:i w:val="0"/>
        </w:rPr>
        <w:t xml:space="preserve">1.3.2、 </w:t>
      </w:r>
      <w:r>
        <w:t>关闭拦截工具</w:t>
      </w:r>
      <w:r>
        <w:tab/>
      </w:r>
      <w:r>
        <w:fldChar w:fldCharType="begin"/>
      </w:r>
      <w:r>
        <w:instrText xml:space="preserve"> PAGEREF _Toc30334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</w:rPr>
        <w:fldChar w:fldCharType="end"/>
      </w:r>
    </w:p>
    <w:p>
      <w:pPr>
        <w:pStyle w:val="28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_Toc21667 </w:instrText>
      </w:r>
      <w:r>
        <w:rPr>
          <w:szCs w:val="20"/>
        </w:rPr>
        <w:fldChar w:fldCharType="separate"/>
      </w:r>
      <w:r>
        <w:rPr>
          <w:rFonts w:hint="eastAsia"/>
          <w:lang w:val="en-US"/>
        </w:rPr>
        <w:t xml:space="preserve">二、 </w:t>
      </w:r>
      <w:r>
        <w:rPr>
          <w:rFonts w:hint="eastAsia"/>
        </w:rPr>
        <w:t>不见面开标大厅</w:t>
      </w:r>
      <w:r>
        <w:tab/>
      </w:r>
      <w:r>
        <w:fldChar w:fldCharType="begin"/>
      </w:r>
      <w:r>
        <w:instrText xml:space="preserve"> PAGEREF _Toc21667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_Toc18042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2.1、 </w:t>
      </w:r>
      <w:r>
        <w:rPr>
          <w:rFonts w:hint="eastAsia"/>
        </w:rPr>
        <w:t>登录</w:t>
      </w:r>
      <w:r>
        <w:tab/>
      </w:r>
      <w:r>
        <w:fldChar w:fldCharType="begin"/>
      </w:r>
      <w:r>
        <w:instrText xml:space="preserve"> PAGEREF _Toc18042 \h </w:instrText>
      </w:r>
      <w:r>
        <w:fldChar w:fldCharType="separate"/>
      </w:r>
      <w:r>
        <w:t>11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_Toc16273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2.2、 </w:t>
      </w:r>
      <w:r>
        <w:rPr>
          <w:rFonts w:hint="eastAsia"/>
        </w:rPr>
        <w:t>项目列表页面</w:t>
      </w:r>
      <w:r>
        <w:tab/>
      </w:r>
      <w:r>
        <w:fldChar w:fldCharType="begin"/>
      </w:r>
      <w:r>
        <w:instrText xml:space="preserve"> PAGEREF _Toc16273 \h </w:instrText>
      </w:r>
      <w:r>
        <w:fldChar w:fldCharType="separate"/>
      </w:r>
      <w:r>
        <w:t>12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_Toc20005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2.3、 </w:t>
      </w:r>
      <w:r>
        <w:rPr>
          <w:rFonts w:hint="eastAsia"/>
        </w:rPr>
        <w:t>进入开标大厅</w:t>
      </w:r>
      <w:r>
        <w:tab/>
      </w:r>
      <w:r>
        <w:fldChar w:fldCharType="begin"/>
      </w:r>
      <w:r>
        <w:instrText xml:space="preserve"> PAGEREF _Toc20005 \h </w:instrText>
      </w:r>
      <w:r>
        <w:fldChar w:fldCharType="separate"/>
      </w:r>
      <w:r>
        <w:t>13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_Toc17363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2.4、 </w:t>
      </w:r>
      <w:r>
        <w:rPr>
          <w:rFonts w:hint="eastAsia"/>
        </w:rPr>
        <w:t>等待开标</w:t>
      </w:r>
      <w:r>
        <w:tab/>
      </w:r>
      <w:r>
        <w:fldChar w:fldCharType="begin"/>
      </w:r>
      <w:r>
        <w:instrText xml:space="preserve"> PAGEREF _Toc17363 \h </w:instrText>
      </w:r>
      <w:r>
        <w:fldChar w:fldCharType="separate"/>
      </w:r>
      <w:r>
        <w:t>14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_Toc4536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2.5、 </w:t>
      </w:r>
      <w:r>
        <w:rPr>
          <w:rFonts w:hint="eastAsia"/>
        </w:rPr>
        <w:t>公布投标人</w:t>
      </w:r>
      <w:r>
        <w:tab/>
      </w:r>
      <w:r>
        <w:fldChar w:fldCharType="begin"/>
      </w:r>
      <w:r>
        <w:instrText xml:space="preserve"> PAGEREF _Toc4536 \h </w:instrText>
      </w:r>
      <w:r>
        <w:fldChar w:fldCharType="separate"/>
      </w:r>
      <w:r>
        <w:t>16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_Toc8620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2.6、 </w:t>
      </w:r>
      <w:r>
        <w:rPr>
          <w:rFonts w:hint="eastAsia"/>
        </w:rPr>
        <w:t>查看投标人名单</w:t>
      </w:r>
      <w:r>
        <w:tab/>
      </w:r>
      <w:r>
        <w:fldChar w:fldCharType="begin"/>
      </w:r>
      <w:r>
        <w:instrText xml:space="preserve"> PAGEREF _Toc8620 \h </w:instrText>
      </w:r>
      <w:r>
        <w:fldChar w:fldCharType="separate"/>
      </w:r>
      <w:r>
        <w:t>16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_Toc12695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2.7、 </w:t>
      </w:r>
      <w:r>
        <w:rPr>
          <w:rFonts w:hint="eastAsia"/>
        </w:rPr>
        <w:t>投标人解密</w:t>
      </w:r>
      <w:r>
        <w:tab/>
      </w:r>
      <w:r>
        <w:fldChar w:fldCharType="begin"/>
      </w:r>
      <w:r>
        <w:instrText xml:space="preserve"> PAGEREF _Toc12695 \h </w:instrText>
      </w:r>
      <w:r>
        <w:fldChar w:fldCharType="separate"/>
      </w:r>
      <w:r>
        <w:t>17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_Toc31859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2.8、 </w:t>
      </w:r>
      <w:r>
        <w:rPr>
          <w:rFonts w:hint="eastAsia"/>
        </w:rPr>
        <w:t>招标人解密</w:t>
      </w:r>
      <w:r>
        <w:tab/>
      </w:r>
      <w:r>
        <w:fldChar w:fldCharType="begin"/>
      </w:r>
      <w:r>
        <w:instrText xml:space="preserve"> PAGEREF _Toc31859 \h </w:instrText>
      </w:r>
      <w:r>
        <w:fldChar w:fldCharType="separate"/>
      </w:r>
      <w:r>
        <w:t>19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_Toc15923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2.9、 </w:t>
      </w:r>
      <w:r>
        <w:rPr>
          <w:rFonts w:hint="eastAsia"/>
        </w:rPr>
        <w:t>批量导入</w:t>
      </w:r>
      <w:r>
        <w:tab/>
      </w:r>
      <w:r>
        <w:fldChar w:fldCharType="begin"/>
      </w:r>
      <w:r>
        <w:instrText xml:space="preserve"> PAGEREF _Toc15923 \h </w:instrText>
      </w:r>
      <w:r>
        <w:fldChar w:fldCharType="separate"/>
      </w:r>
      <w:r>
        <w:t>19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_Toc7017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2.10、 </w:t>
      </w:r>
      <w:r>
        <w:rPr>
          <w:rFonts w:hint="eastAsia"/>
        </w:rPr>
        <w:t>唱标</w:t>
      </w:r>
      <w:r>
        <w:tab/>
      </w:r>
      <w:r>
        <w:fldChar w:fldCharType="begin"/>
      </w:r>
      <w:r>
        <w:instrText xml:space="preserve"> PAGEREF _Toc7017 \h </w:instrText>
      </w:r>
      <w:r>
        <w:fldChar w:fldCharType="separate"/>
      </w:r>
      <w:r>
        <w:t>20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_Toc16409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2.11、 </w:t>
      </w:r>
      <w:r>
        <w:rPr>
          <w:rFonts w:hint="eastAsia"/>
        </w:rPr>
        <w:t>开标结束</w:t>
      </w:r>
      <w:r>
        <w:tab/>
      </w:r>
      <w:r>
        <w:fldChar w:fldCharType="begin"/>
      </w:r>
      <w:r>
        <w:instrText xml:space="preserve"> PAGEREF _Toc16409 \h </w:instrText>
      </w:r>
      <w:r>
        <w:fldChar w:fldCharType="separate"/>
      </w:r>
      <w:r>
        <w:t>20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_Toc29191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2.12、 </w:t>
      </w:r>
      <w:r>
        <w:rPr>
          <w:rFonts w:hint="eastAsia"/>
        </w:rPr>
        <w:t>系数录入（含系数抽取的项目）</w:t>
      </w:r>
      <w:r>
        <w:tab/>
      </w:r>
      <w:r>
        <w:fldChar w:fldCharType="begin"/>
      </w:r>
      <w:r>
        <w:instrText xml:space="preserve"> PAGEREF _Toc29191 \h </w:instrText>
      </w:r>
      <w:r>
        <w:fldChar w:fldCharType="separate"/>
      </w:r>
      <w:r>
        <w:t>21</w:t>
      </w:r>
      <w:r>
        <w:fldChar w:fldCharType="end"/>
      </w:r>
      <w:r>
        <w:rPr>
          <w:szCs w:val="20"/>
        </w:rPr>
        <w:fldChar w:fldCharType="end"/>
      </w:r>
    </w:p>
    <w:p>
      <w:pPr>
        <w:pStyle w:val="34"/>
        <w:tabs>
          <w:tab w:val="right" w:leader="dot" w:pos="8266"/>
        </w:tabs>
      </w:pPr>
      <w:r>
        <w:rPr>
          <w:szCs w:val="20"/>
        </w:rPr>
        <w:fldChar w:fldCharType="begin"/>
      </w:r>
      <w:r>
        <w:rPr>
          <w:szCs w:val="20"/>
        </w:rPr>
        <w:instrText xml:space="preserve"> HYPERLINK \l _Toc15728 </w:instrText>
      </w:r>
      <w:r>
        <w:rPr>
          <w:szCs w:val="20"/>
        </w:rPr>
        <w:fldChar w:fldCharType="separate"/>
      </w:r>
      <w:r>
        <w:rPr>
          <w:rFonts w:hint="eastAsia"/>
          <w:szCs w:val="30"/>
        </w:rPr>
        <w:t xml:space="preserve">2.13、 </w:t>
      </w:r>
      <w:r>
        <w:rPr>
          <w:rFonts w:hint="eastAsia"/>
        </w:rPr>
        <w:t>评标过程中询标</w:t>
      </w:r>
      <w:r>
        <w:tab/>
      </w:r>
      <w:r>
        <w:fldChar w:fldCharType="begin"/>
      </w:r>
      <w:r>
        <w:instrText xml:space="preserve"> PAGEREF _Toc15728 \h </w:instrText>
      </w:r>
      <w:r>
        <w:fldChar w:fldCharType="separate"/>
      </w:r>
      <w:r>
        <w:t>22</w:t>
      </w:r>
      <w:r>
        <w:fldChar w:fldCharType="end"/>
      </w:r>
      <w:r>
        <w:rPr>
          <w:szCs w:val="20"/>
        </w:rPr>
        <w:fldChar w:fldCharType="end"/>
      </w:r>
    </w:p>
    <w:p>
      <w:pPr>
        <w:pStyle w:val="57"/>
        <w:spacing w:line="240" w:lineRule="auto"/>
        <w:ind w:firstLine="360"/>
      </w:pPr>
      <w:r>
        <w:rPr>
          <w:szCs w:val="20"/>
        </w:rPr>
        <w:fldChar w:fldCharType="end"/>
      </w: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422"/>
        <w:rPr>
          <w:b/>
        </w:rPr>
      </w:pPr>
    </w:p>
    <w:p>
      <w:pPr>
        <w:ind w:firstLine="0" w:firstLineChars="0"/>
      </w:pPr>
    </w:p>
    <w:p>
      <w:pPr>
        <w:pStyle w:val="2"/>
      </w:pPr>
      <w:bookmarkStart w:id="0" w:name="_Toc346183627"/>
      <w:bookmarkStart w:id="1" w:name="_Toc16937"/>
      <w:bookmarkStart w:id="2" w:name="_Toc346701609"/>
      <w:bookmarkStart w:id="3" w:name="_Toc404764406"/>
      <w:bookmarkStart w:id="4" w:name="_Toc404765182"/>
      <w:bookmarkStart w:id="5" w:name="_Toc404243487"/>
      <w:bookmarkStart w:id="6" w:name="_Toc21799"/>
      <w:r>
        <w:t>系统前期准备</w:t>
      </w:r>
      <w:bookmarkEnd w:id="0"/>
      <w:bookmarkEnd w:id="1"/>
      <w:bookmarkEnd w:id="2"/>
      <w:bookmarkEnd w:id="3"/>
      <w:bookmarkEnd w:id="4"/>
      <w:bookmarkEnd w:id="5"/>
      <w:bookmarkEnd w:id="6"/>
    </w:p>
    <w:p>
      <w:pPr>
        <w:pStyle w:val="3"/>
      </w:pPr>
      <w:bookmarkStart w:id="7" w:name="_Toc404243488"/>
      <w:bookmarkStart w:id="8" w:name="_Toc346183628"/>
      <w:bookmarkStart w:id="9" w:name="_Toc346701610"/>
      <w:bookmarkStart w:id="10" w:name="_Toc28668"/>
      <w:bookmarkStart w:id="11" w:name="_Toc404765183"/>
      <w:bookmarkStart w:id="12" w:name="_Toc404764407"/>
      <w:bookmarkStart w:id="13" w:name="_Toc31373"/>
      <w:r>
        <w:t>驱动安装说明</w:t>
      </w:r>
      <w:bookmarkEnd w:id="7"/>
      <w:bookmarkEnd w:id="8"/>
      <w:bookmarkEnd w:id="9"/>
      <w:bookmarkEnd w:id="10"/>
      <w:bookmarkEnd w:id="11"/>
      <w:bookmarkEnd w:id="12"/>
      <w:bookmarkEnd w:id="13"/>
    </w:p>
    <w:p>
      <w:pPr>
        <w:pStyle w:val="4"/>
      </w:pPr>
      <w:bookmarkStart w:id="14" w:name="_Toc404764408"/>
      <w:bookmarkStart w:id="15" w:name="_Toc346701611"/>
      <w:bookmarkStart w:id="16" w:name="_Toc4208"/>
      <w:bookmarkStart w:id="17" w:name="_Toc346183629"/>
      <w:bookmarkStart w:id="18" w:name="_Toc404765184"/>
      <w:bookmarkStart w:id="19" w:name="_Toc404243489"/>
      <w:bookmarkStart w:id="20" w:name="_Toc9348"/>
      <w:r>
        <w:t>安装驱动程序</w:t>
      </w:r>
      <w:bookmarkEnd w:id="14"/>
      <w:bookmarkEnd w:id="15"/>
      <w:bookmarkEnd w:id="16"/>
      <w:bookmarkEnd w:id="17"/>
      <w:bookmarkEnd w:id="18"/>
      <w:bookmarkEnd w:id="19"/>
      <w:bookmarkEnd w:id="20"/>
    </w:p>
    <w:p>
      <w:pPr>
        <w:numPr>
          <w:ilvl w:val="0"/>
          <w:numId w:val="2"/>
        </w:numPr>
        <w:rPr>
          <w:rFonts w:hint="default" w:eastAsia="宋体"/>
          <w:lang w:val="en-US" w:eastAsia="zh-CN"/>
        </w:rPr>
      </w:pPr>
      <w:r>
        <w:rPr>
          <w:rFonts w:hint="eastAsia"/>
        </w:rPr>
        <w:t>IE11浏览器中打开</w:t>
      </w:r>
      <w:r>
        <w:rPr>
          <w:rFonts w:hint="eastAsia" w:ascii="宋体" w:hAnsi="宋体" w:eastAsia="宋体" w:cs="宋体"/>
          <w:sz w:val="24"/>
          <w:szCs w:val="24"/>
        </w:rPr>
        <w:t>https://download.bqpoint.com/?SourceFrom=Ztb&amp;ZtbSoftXiaQuCode=1203&amp;ZtbSoftType=DR&amp;SoftGuid=179c1716-0913-4138-b4d8-adc0f3692f8d&amp;RootGuid=fd78aba1-b9ad-4a73-91bf-61e65906e7e7&amp;softtypecode=06</w:t>
      </w:r>
      <w:r>
        <w:rPr>
          <w:rFonts w:hint="eastAsia" w:ascii="宋体" w:hAnsi="宋体" w:cs="宋体"/>
          <w:sz w:val="24"/>
          <w:szCs w:val="24"/>
          <w:lang w:eastAsia="zh-CN"/>
        </w:rPr>
        <w:t>，</w:t>
      </w:r>
      <w:r>
        <w:rPr>
          <w:rFonts w:hint="eastAsia" w:ascii="宋体" w:hAnsi="宋体" w:cs="宋体"/>
          <w:sz w:val="24"/>
          <w:szCs w:val="24"/>
          <w:lang w:val="en-US" w:eastAsia="zh-CN"/>
        </w:rPr>
        <w:t>下载CA驱动。</w:t>
      </w:r>
      <w:r>
        <w:drawing>
          <wp:inline distT="0" distB="0" distL="114300" distR="114300">
            <wp:extent cx="5245735" cy="3338830"/>
            <wp:effectExtent l="0" t="0" r="12065" b="13970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adjustRightInd w:val="0"/>
        <w:ind w:right="-20" w:firstLine="0" w:firstLineChars="0"/>
        <w:jc w:val="both"/>
        <w:rPr>
          <w:spacing w:val="4"/>
        </w:rPr>
      </w:pPr>
    </w:p>
    <w:p>
      <w:pPr>
        <w:numPr>
          <w:ilvl w:val="0"/>
          <w:numId w:val="3"/>
        </w:numPr>
      </w:pPr>
      <w:r>
        <w:rPr>
          <w:rFonts w:hint="eastAsia"/>
        </w:rPr>
        <w:t>右击以管理员身份运行</w:t>
      </w:r>
      <w:r>
        <w:drawing>
          <wp:inline distT="0" distB="0" distL="114300" distR="114300">
            <wp:extent cx="876300" cy="1000125"/>
            <wp:effectExtent l="0" t="0" r="0" b="9525"/>
            <wp:docPr id="3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，可自行选择按照路径，选择之后点击“快速安装”，如下图：</w:t>
      </w:r>
    </w:p>
    <w:p>
      <w:pPr>
        <w:numPr>
          <w:numId w:val="0"/>
        </w:numPr>
      </w:pPr>
      <w:r>
        <w:drawing>
          <wp:inline distT="0" distB="0" distL="114300" distR="114300">
            <wp:extent cx="5246370" cy="3935095"/>
            <wp:effectExtent l="0" t="0" r="11430" b="8255"/>
            <wp:docPr id="8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ind w:firstLine="0" w:firstLineChars="0"/>
      </w:pPr>
    </w:p>
    <w:p>
      <w:pPr>
        <w:ind w:left="0" w:leftChars="0" w:firstLine="0" w:firstLineChars="0"/>
      </w:pPr>
      <w:r>
        <w:t>3、</w:t>
      </w:r>
      <w:r>
        <w:rPr>
          <w:rFonts w:hint="eastAsia"/>
        </w:rPr>
        <w:t>安装的时候，如果IE程序正在运行，关闭IE</w:t>
      </w:r>
      <w:r>
        <w:t>，</w:t>
      </w:r>
      <w:r>
        <w:rPr>
          <w:rFonts w:hint="eastAsia"/>
        </w:rPr>
        <w:t>关闭IE之后，将继续安装，</w:t>
      </w:r>
      <w:r>
        <w:t>如下图：</w:t>
      </w:r>
    </w:p>
    <w:p>
      <w:pPr>
        <w:ind w:left="0" w:leftChars="0" w:firstLine="0" w:firstLineChars="0"/>
        <w:jc w:val="left"/>
      </w:pPr>
      <w:r>
        <w:drawing>
          <wp:inline distT="0" distB="0" distL="114300" distR="114300">
            <wp:extent cx="5168900" cy="3917950"/>
            <wp:effectExtent l="0" t="0" r="0" b="6350"/>
            <wp:docPr id="16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68900" cy="391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246370" cy="3935095"/>
            <wp:effectExtent l="0" t="0" r="1143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jc w:val="center"/>
        <w:rPr>
          <w:spacing w:val="4"/>
        </w:rPr>
      </w:pPr>
    </w:p>
    <w:p>
      <w:r>
        <w:rPr>
          <w:rFonts w:hint="eastAsia"/>
        </w:rPr>
        <w:t>4</w:t>
      </w:r>
      <w:r>
        <w:t>、</w:t>
      </w:r>
      <w:r>
        <w:rPr>
          <w:rFonts w:hint="eastAsia"/>
        </w:rPr>
        <w:t>安装完成之后，点击“完成”即可</w:t>
      </w:r>
      <w:r>
        <w:t>，如下图：</w:t>
      </w:r>
    </w:p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246370" cy="3935095"/>
            <wp:effectExtent l="0" t="0" r="11430" b="8255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393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36"/>
        <w:jc w:val="center"/>
      </w:pPr>
    </w:p>
    <w:p>
      <w:r>
        <w:rPr>
          <w:rFonts w:hint="eastAsia"/>
        </w:rPr>
        <w:t>5</w:t>
      </w:r>
      <w:r>
        <w:t>、</w:t>
      </w:r>
      <w:r>
        <w:rPr>
          <w:rFonts w:hint="eastAsia"/>
        </w:rPr>
        <w:t>安装完成之后，桌面会出现</w:t>
      </w:r>
      <w:r>
        <w:t>如下图</w:t>
      </w:r>
      <w:r>
        <w:rPr>
          <w:rFonts w:hint="eastAsia"/>
        </w:rPr>
        <w:t>标</w:t>
      </w:r>
      <w:r>
        <w:t>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78" w:name="_GoBack"/>
      <w:bookmarkEnd w:id="78"/>
    </w:p>
    <w:p>
      <w:pPr>
        <w:pStyle w:val="3"/>
      </w:pPr>
      <w:bookmarkStart w:id="21" w:name="_Toc2175"/>
      <w:bookmarkStart w:id="22" w:name="_Toc346183633"/>
      <w:bookmarkStart w:id="23" w:name="_Toc404765188"/>
      <w:bookmarkStart w:id="24" w:name="_Toc404764412"/>
      <w:bookmarkStart w:id="25" w:name="_Toc346701615"/>
      <w:bookmarkStart w:id="26" w:name="_Toc404243493"/>
      <w:bookmarkStart w:id="27" w:name="_Toc30101"/>
      <w:r>
        <w:t>检测工具</w:t>
      </w:r>
      <w:bookmarkEnd w:id="21"/>
      <w:bookmarkEnd w:id="22"/>
      <w:bookmarkEnd w:id="23"/>
      <w:bookmarkEnd w:id="24"/>
      <w:bookmarkEnd w:id="25"/>
      <w:bookmarkEnd w:id="26"/>
      <w:bookmarkEnd w:id="27"/>
    </w:p>
    <w:p>
      <w:pPr>
        <w:pStyle w:val="4"/>
        <w:widowControl/>
        <w:tabs>
          <w:tab w:val="clear" w:pos="567"/>
        </w:tabs>
      </w:pPr>
      <w:bookmarkStart w:id="28" w:name="_Toc404243494"/>
      <w:bookmarkStart w:id="29" w:name="_Toc404764413"/>
      <w:bookmarkStart w:id="30" w:name="_Toc20095"/>
      <w:bookmarkStart w:id="31" w:name="_Toc404765189"/>
      <w:bookmarkStart w:id="32" w:name="_Toc346183634"/>
      <w:bookmarkStart w:id="33" w:name="_Toc346701616"/>
      <w:bookmarkStart w:id="34" w:name="_Toc32048"/>
      <w:r>
        <w:t>启动检测工具</w:t>
      </w:r>
      <w:bookmarkEnd w:id="28"/>
      <w:bookmarkEnd w:id="29"/>
      <w:bookmarkEnd w:id="30"/>
      <w:bookmarkEnd w:id="31"/>
      <w:bookmarkEnd w:id="32"/>
      <w:bookmarkEnd w:id="33"/>
      <w:bookmarkEnd w:id="34"/>
    </w:p>
    <w:p>
      <w:r>
        <w:t>用户可以点击桌面上的</w:t>
      </w:r>
      <w:r>
        <w:rPr>
          <w:rFonts w:hint="eastAsia"/>
        </w:rPr>
        <w:t>开标大厅</w:t>
      </w:r>
      <w:r>
        <w:t>检测工具图标来启动检测工具，如下图：</w:t>
      </w:r>
    </w:p>
    <w:p>
      <w:pPr>
        <w:pStyle w:val="57"/>
        <w:ind w:firstLine="480" w:firstLineChars="200"/>
        <w:jc w:val="center"/>
        <w:rPr>
          <w:b/>
          <w:spacing w:val="4"/>
        </w:rPr>
      </w:pPr>
      <w:r>
        <w:drawing>
          <wp:inline distT="0" distB="0" distL="114300" distR="114300">
            <wp:extent cx="885825" cy="1000125"/>
            <wp:effectExtent l="0" t="0" r="9525" b="9525"/>
            <wp:docPr id="5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498" w:firstLineChars="200"/>
        <w:rPr>
          <w:b/>
          <w:spacing w:val="4"/>
        </w:rPr>
      </w:pPr>
    </w:p>
    <w:p>
      <w:pPr>
        <w:pStyle w:val="4"/>
        <w:widowControl/>
        <w:tabs>
          <w:tab w:val="clear" w:pos="567"/>
        </w:tabs>
      </w:pPr>
      <w:bookmarkStart w:id="35" w:name="_Toc404764414"/>
      <w:bookmarkStart w:id="36" w:name="_Toc404765190"/>
      <w:bookmarkStart w:id="37" w:name="_Toc404243495"/>
      <w:bookmarkStart w:id="38" w:name="_Toc346183635"/>
      <w:bookmarkStart w:id="39" w:name="_Toc682"/>
      <w:bookmarkStart w:id="40" w:name="_Toc346701617"/>
      <w:bookmarkStart w:id="41" w:name="_Toc32488"/>
      <w:r>
        <w:rPr>
          <w:rFonts w:hint="eastAsia"/>
        </w:rPr>
        <w:t>一键</w:t>
      </w:r>
      <w:r>
        <w:t>检测</w:t>
      </w:r>
      <w:bookmarkEnd w:id="35"/>
      <w:bookmarkEnd w:id="36"/>
      <w:bookmarkEnd w:id="37"/>
      <w:bookmarkEnd w:id="38"/>
      <w:bookmarkEnd w:id="39"/>
      <w:bookmarkEnd w:id="40"/>
      <w:bookmarkEnd w:id="41"/>
    </w:p>
    <w:p>
      <w:pPr>
        <w:ind w:firstLine="436"/>
        <w:rPr>
          <w:spacing w:val="4"/>
        </w:rPr>
      </w:pPr>
      <w:r>
        <w:rPr>
          <w:rFonts w:hint="eastAsia"/>
          <w:spacing w:val="4"/>
        </w:rPr>
        <w:t>打开页面之后，插入锁，点击“</w:t>
      </w:r>
      <w:r>
        <w:rPr>
          <w:rFonts w:hint="eastAsia"/>
          <w:spacing w:val="4"/>
          <w:lang w:val="en-US" w:eastAsia="zh-CN"/>
        </w:rPr>
        <w:t>不见面开标</w:t>
      </w:r>
      <w:r>
        <w:rPr>
          <w:rFonts w:hint="eastAsia"/>
          <w:spacing w:val="4"/>
        </w:rPr>
        <w:t>”，如果IE正在运行，关闭IE</w:t>
      </w:r>
      <w:r>
        <w:rPr>
          <w:spacing w:val="4"/>
        </w:rPr>
        <w:t>。</w:t>
      </w:r>
    </w:p>
    <w:p>
      <w:pPr>
        <w:ind w:firstLine="0" w:firstLineChars="0"/>
        <w:rPr>
          <w:spacing w:val="4"/>
        </w:rPr>
      </w:pPr>
      <w:r>
        <w:drawing>
          <wp:inline distT="0" distB="0" distL="114300" distR="114300">
            <wp:extent cx="5243195" cy="3308985"/>
            <wp:effectExtent l="0" t="0" r="14605" b="5715"/>
            <wp:docPr id="5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330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7"/>
        <w:ind w:firstLine="0" w:firstLineChars="0"/>
        <w:jc w:val="center"/>
        <w:rPr>
          <w:b/>
          <w:spacing w:val="4"/>
        </w:rPr>
      </w:pPr>
    </w:p>
    <w:p>
      <w:pPr>
        <w:ind w:firstLine="436"/>
        <w:rPr>
          <w:spacing w:val="4"/>
        </w:rPr>
      </w:pPr>
    </w:p>
    <w:p>
      <w:pPr>
        <w:pStyle w:val="3"/>
      </w:pPr>
      <w:bookmarkStart w:id="42" w:name="_Toc404764418"/>
      <w:bookmarkStart w:id="43" w:name="_Toc404243499"/>
      <w:bookmarkStart w:id="44" w:name="_Toc346183639"/>
      <w:bookmarkStart w:id="45" w:name="_Toc404765194"/>
      <w:bookmarkStart w:id="46" w:name="_Toc24983"/>
      <w:bookmarkStart w:id="47" w:name="_Toc346701621"/>
      <w:bookmarkStart w:id="48" w:name="_Toc21849"/>
      <w:r>
        <w:t>浏览器配置</w:t>
      </w:r>
      <w:bookmarkEnd w:id="42"/>
      <w:bookmarkEnd w:id="43"/>
      <w:bookmarkEnd w:id="44"/>
      <w:bookmarkEnd w:id="45"/>
      <w:bookmarkEnd w:id="46"/>
      <w:bookmarkEnd w:id="47"/>
      <w:bookmarkEnd w:id="48"/>
    </w:p>
    <w:p>
      <w:pPr>
        <w:pStyle w:val="4"/>
        <w:widowControl/>
        <w:tabs>
          <w:tab w:val="clear" w:pos="567"/>
        </w:tabs>
      </w:pPr>
      <w:bookmarkStart w:id="49" w:name="_Toc346183640"/>
      <w:bookmarkStart w:id="50" w:name="_Toc404764419"/>
      <w:bookmarkStart w:id="51" w:name="_Toc404765195"/>
      <w:bookmarkStart w:id="52" w:name="_Toc404243500"/>
      <w:bookmarkStart w:id="53" w:name="_Toc346701622"/>
      <w:bookmarkStart w:id="54" w:name="_Toc26801"/>
      <w:bookmarkStart w:id="55" w:name="_Toc4009"/>
      <w:r>
        <w:t>Internet选项</w:t>
      </w:r>
      <w:bookmarkEnd w:id="49"/>
      <w:bookmarkEnd w:id="50"/>
      <w:bookmarkEnd w:id="51"/>
      <w:bookmarkEnd w:id="52"/>
      <w:bookmarkEnd w:id="53"/>
      <w:bookmarkEnd w:id="54"/>
      <w:bookmarkEnd w:id="55"/>
    </w:p>
    <w:p>
      <w:r>
        <w:t>为了让系统插件能够正常工作，请按照以下步骤进行浏览器的配置。</w:t>
      </w:r>
    </w:p>
    <w:p>
      <w:r>
        <w:t>1、打开浏览器，在“工具”菜单→“Internet选项”，如下图：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62350" cy="3152775"/>
            <wp:effectExtent l="0" t="0" r="6350" b="9525"/>
            <wp:docPr id="1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2、弹出对话框之后，请选择“安全”选项卡，具体的界面，如下图：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2914650" cy="3476625"/>
            <wp:effectExtent l="0" t="0" r="6350" b="3175"/>
            <wp:docPr id="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3、点击绿色的“受信任的站点”的图片，如下图：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648075" cy="3895725"/>
            <wp:effectExtent l="0" t="0" r="9525" b="3175"/>
            <wp:docPr id="1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4、点击“站点”按钮，出现如下对话框，如下图：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743325" cy="3048000"/>
            <wp:effectExtent l="0" t="0" r="3175" b="0"/>
            <wp:docPr id="1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pacing w:val="4"/>
        </w:rPr>
      </w:pPr>
      <w:r>
        <w:t>输入系统服务器的IP地址，格式例如：192.168.0.123，然后点击“添加”按钮完成添加，再按“关闭”按钮退出</w:t>
      </w:r>
      <w:r>
        <w:rPr>
          <w:spacing w:val="4"/>
        </w:rPr>
        <w:t>。</w:t>
      </w:r>
    </w:p>
    <w:p>
      <w:r>
        <w:t>5、设置自定义安全级别，开放Activex的访问权限，如下图：</w:t>
      </w:r>
    </w:p>
    <w:p>
      <w:pPr>
        <w:jc w:val="center"/>
        <w:rPr>
          <w:spacing w:val="4"/>
        </w:rPr>
      </w:pPr>
      <w:r>
        <w:rPr>
          <w:spacing w:val="4"/>
        </w:rPr>
        <w:drawing>
          <wp:inline distT="0" distB="0" distL="114300" distR="114300">
            <wp:extent cx="3533775" cy="4152900"/>
            <wp:effectExtent l="0" t="0" r="9525" b="0"/>
            <wp:docPr id="2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会出现一个窗口，把其中的Activex控件和插件的设置全部改为启用，如下图：</w:t>
      </w:r>
    </w:p>
    <w:p>
      <w:pPr>
        <w:jc w:val="center"/>
        <w:rPr>
          <w:spacing w:val="4"/>
        </w:rPr>
      </w:pPr>
      <w:r>
        <w:drawing>
          <wp:inline distT="0" distB="0" distL="114300" distR="114300">
            <wp:extent cx="3486150" cy="3676650"/>
            <wp:effectExtent l="0" t="0" r="6350" b="6350"/>
            <wp:docPr id="21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t>文件下载设置，开放文件下载的权限：设置为启用，如下图：</w:t>
      </w:r>
    </w:p>
    <w:p>
      <w:pPr>
        <w:jc w:val="center"/>
      </w:pPr>
      <w:r>
        <w:rPr>
          <w:spacing w:val="4"/>
        </w:rPr>
        <w:drawing>
          <wp:inline distT="0" distB="0" distL="114300" distR="114300">
            <wp:extent cx="3524250" cy="3705225"/>
            <wp:effectExtent l="0" t="0" r="6350" b="3175"/>
            <wp:docPr id="1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widowControl/>
        <w:tabs>
          <w:tab w:val="clear" w:pos="567"/>
        </w:tabs>
      </w:pPr>
      <w:bookmarkStart w:id="56" w:name="_Toc346183641"/>
      <w:bookmarkStart w:id="57" w:name="_Toc404764420"/>
      <w:bookmarkStart w:id="58" w:name="_Toc404765196"/>
      <w:bookmarkStart w:id="59" w:name="_Toc346701623"/>
      <w:bookmarkStart w:id="60" w:name="_Toc25905"/>
      <w:bookmarkStart w:id="61" w:name="_Toc404243501"/>
      <w:bookmarkStart w:id="62" w:name="_Toc30334"/>
      <w:r>
        <w:t>关闭拦截工具</w:t>
      </w:r>
      <w:bookmarkEnd w:id="56"/>
      <w:bookmarkEnd w:id="57"/>
      <w:bookmarkEnd w:id="58"/>
      <w:bookmarkEnd w:id="59"/>
      <w:bookmarkEnd w:id="60"/>
      <w:bookmarkEnd w:id="61"/>
      <w:bookmarkEnd w:id="62"/>
    </w:p>
    <w:p>
      <w:r>
        <w:t>上述操作完成后，如果系统中某些功能仍不能使用，请将拦截工具关闭再试用。比如在windows工具栏中关闭弹出窗口阻止程序的操作，如下图：</w:t>
      </w:r>
    </w:p>
    <w:p>
      <w:pPr>
        <w:ind w:firstLine="0" w:firstLineChars="0"/>
      </w:pPr>
      <w:r>
        <w:drawing>
          <wp:inline distT="0" distB="0" distL="114300" distR="114300">
            <wp:extent cx="5095875" cy="2324100"/>
            <wp:effectExtent l="0" t="0" r="9525" b="0"/>
            <wp:docPr id="1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  <w:bookmarkStart w:id="63" w:name="_Toc21667"/>
      <w:r>
        <w:rPr>
          <w:rFonts w:hint="eastAsia"/>
        </w:rPr>
        <w:t>不见面开标大厅</w:t>
      </w:r>
      <w:bookmarkEnd w:id="63"/>
    </w:p>
    <w:p>
      <w:r>
        <w:t>本系统主要提供给各类投标人使用，实现投标人</w:t>
      </w:r>
      <w:r>
        <w:rPr>
          <w:rFonts w:hint="eastAsia"/>
        </w:rPr>
        <w:t>登录、查看今日项目、查看开标过程、解密等</w:t>
      </w:r>
      <w:r>
        <w:t>功能。</w:t>
      </w:r>
    </w:p>
    <w:p>
      <w:pPr>
        <w:pStyle w:val="3"/>
      </w:pPr>
      <w:bookmarkStart w:id="64" w:name="_Toc18042"/>
      <w:r>
        <w:rPr>
          <w:rFonts w:hint="eastAsia"/>
        </w:rPr>
        <w:t>登录</w:t>
      </w:r>
      <w:bookmarkEnd w:id="64"/>
    </w:p>
    <w:p>
      <w:pPr>
        <w:ind w:firstLine="422"/>
      </w:pPr>
      <w:r>
        <w:rPr>
          <w:b/>
          <w:bCs/>
        </w:rPr>
        <w:t>功能说明：</w:t>
      </w:r>
      <w:r>
        <w:t>投标人</w:t>
      </w:r>
      <w:r>
        <w:rPr>
          <w:rFonts w:hint="eastAsia"/>
        </w:rPr>
        <w:t>登录系统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  <w:r>
        <w:rPr>
          <w:rFonts w:hint="eastAsia"/>
        </w:rPr>
        <w:t>投标人在业务系统注册过，且审核通过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4"/>
        </w:numPr>
      </w:pPr>
      <w:r>
        <w:rPr>
          <w:rFonts w:hint="eastAsia"/>
        </w:rPr>
        <w:t>打开滁州市公共资源交易中心网站右下角登录页面</w:t>
      </w:r>
      <w:r>
        <w:t>，如下图：</w:t>
      </w:r>
    </w:p>
    <w:p>
      <w:pPr>
        <w:ind w:firstLine="0" w:firstLineChars="0"/>
      </w:pPr>
      <w:r>
        <w:drawing>
          <wp:inline distT="0" distB="0" distL="114300" distR="114300">
            <wp:extent cx="5246370" cy="2894330"/>
            <wp:effectExtent l="0" t="0" r="11430" b="1270"/>
            <wp:docPr id="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46370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或者直接用地址登录：https://ggzy.chuzhou.gov.cn/BidOpening</w:t>
      </w:r>
    </w:p>
    <w:p>
      <w:pPr>
        <w:numPr>
          <w:ilvl w:val="0"/>
          <w:numId w:val="4"/>
        </w:numPr>
      </w:pPr>
      <w:r>
        <w:rPr>
          <w:rFonts w:hint="eastAsia"/>
        </w:rPr>
        <w:t>点击“登录”，在左侧选择“投标人”身份，插入CA锁，输入密码后，点击“登录”</w:t>
      </w:r>
      <w:r>
        <w:t>：</w:t>
      </w:r>
      <w:r>
        <w:rPr>
          <w:rFonts w:hint="eastAsia"/>
        </w:rPr>
        <w:t>或者选择用户名登录，输入用户名、密码，点击登录</w:t>
      </w:r>
    </w:p>
    <w:p>
      <w:pPr>
        <w:ind w:left="420" w:leftChars="200" w:firstLine="0" w:firstLineChars="0"/>
      </w:pPr>
      <w:r>
        <w:drawing>
          <wp:inline distT="0" distB="0" distL="114300" distR="114300">
            <wp:extent cx="5233035" cy="2425065"/>
            <wp:effectExtent l="0" t="0" r="5715" b="13335"/>
            <wp:docPr id="5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3"/>
      </w:pPr>
      <w:bookmarkStart w:id="65" w:name="_Toc16273"/>
      <w:r>
        <w:rPr>
          <w:rFonts w:hint="eastAsia"/>
        </w:rPr>
        <w:t>项目列表页面</w:t>
      </w:r>
      <w:bookmarkEnd w:id="65"/>
    </w:p>
    <w:p>
      <w:pPr>
        <w:ind w:firstLine="422"/>
      </w:pPr>
      <w:r>
        <w:rPr>
          <w:b/>
          <w:bCs/>
        </w:rPr>
        <w:t>功能说明：</w:t>
      </w:r>
      <w:r>
        <w:rPr>
          <w:rFonts w:hint="eastAsia"/>
        </w:rPr>
        <w:t>投标人登录之后可以看到当前投标人今日开标标段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前置条件：</w:t>
      </w:r>
    </w:p>
    <w:p>
      <w:pPr>
        <w:numPr>
          <w:ilvl w:val="0"/>
          <w:numId w:val="5"/>
        </w:numPr>
      </w:pPr>
      <w:r>
        <w:rPr>
          <w:rFonts w:hint="eastAsia"/>
        </w:rPr>
        <w:t>当前投标人今天有开标的标段；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r>
        <w:t>1、</w:t>
      </w:r>
      <w:r>
        <w:rPr>
          <w:rFonts w:hint="eastAsia"/>
        </w:rPr>
        <w:t>右上角有“退出”按钮，点击可退出系统</w:t>
      </w:r>
      <w:r>
        <w:t>，</w:t>
      </w:r>
      <w:r>
        <w:rPr>
          <w:rFonts w:hint="eastAsia"/>
        </w:rPr>
        <w:t>中间项目列表区域右上角可根据标段名称或者标段编号查询，</w:t>
      </w:r>
      <w:r>
        <w:t>如下图：</w:t>
      </w:r>
    </w:p>
    <w:p>
      <w:pPr>
        <w:ind w:firstLine="0" w:firstLineChars="0"/>
      </w:pPr>
      <w:r>
        <w:drawing>
          <wp:inline distT="0" distB="0" distL="114300" distR="114300">
            <wp:extent cx="5243195" cy="2935605"/>
            <wp:effectExtent l="0" t="0" r="1905" b="10795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3195" cy="293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6" w:name="_Toc20005"/>
      <w:r>
        <w:rPr>
          <w:rFonts w:hint="eastAsia"/>
        </w:rPr>
        <w:t>进入开标大厅</w:t>
      </w:r>
      <w:bookmarkEnd w:id="66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页面基本内容介绍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无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6"/>
        </w:numPr>
      </w:pPr>
      <w:r>
        <w:rPr>
          <w:rFonts w:hint="eastAsia"/>
        </w:rPr>
        <w:t>进入页面首先阅读开标流程，点击“我已阅读”进入开标大厅，点击“取消”返回项目列表页面</w:t>
      </w:r>
      <w:r>
        <w:t>。</w:t>
      </w:r>
    </w:p>
    <w:p>
      <w:pPr>
        <w:ind w:firstLine="0" w:firstLineChars="0"/>
      </w:pPr>
      <w:r>
        <w:rPr>
          <w:rFonts w:ascii="宋体" w:hAnsi="宋体" w:cs="宋体"/>
          <w:sz w:val="24"/>
        </w:rPr>
        <w:drawing>
          <wp:inline distT="0" distB="0" distL="114300" distR="114300">
            <wp:extent cx="3203575" cy="3309620"/>
            <wp:effectExtent l="0" t="0" r="9525" b="5080"/>
            <wp:docPr id="35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0" descr="IMG_25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203575" cy="3309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</w:pPr>
      <w:r>
        <w:rPr>
          <w:rFonts w:hint="eastAsia"/>
        </w:rPr>
        <w:t>页面上方展示基础信息、右上方有“返回”按钮，点击返回项目列表页面；</w:t>
      </w:r>
    </w:p>
    <w:p>
      <w:pPr>
        <w:numPr>
          <w:ilvl w:val="0"/>
          <w:numId w:val="6"/>
        </w:numPr>
      </w:pPr>
      <w:r>
        <w:rPr>
          <w:rFonts w:hint="eastAsia"/>
        </w:rPr>
        <w:t>左侧中间部分是开标环节展示，不同开标过程展示不同的内容；</w:t>
      </w:r>
    </w:p>
    <w:p>
      <w:pPr>
        <w:ind w:firstLine="0" w:firstLineChars="0"/>
      </w:pPr>
      <w:r>
        <w:drawing>
          <wp:inline distT="0" distB="0" distL="114300" distR="114300">
            <wp:extent cx="5242560" cy="2879090"/>
            <wp:effectExtent l="0" t="0" r="15240" b="16510"/>
            <wp:docPr id="6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</w:pPr>
      <w:r>
        <w:rPr>
          <w:rFonts w:hint="eastAsia"/>
        </w:rPr>
        <w:t>右侧上部分为直播，直播开标场景，主持人开启直播直接即可观看；</w:t>
      </w:r>
    </w:p>
    <w:p>
      <w:pPr>
        <w:numPr>
          <w:ilvl w:val="0"/>
          <w:numId w:val="6"/>
        </w:numPr>
      </w:pPr>
      <w:r>
        <w:rPr>
          <w:rFonts w:hint="eastAsia"/>
        </w:rPr>
        <w:t>右侧下部分是公告栏，主要展示阶段信息；点击右上角放大镜可查看更多；</w:t>
      </w:r>
    </w:p>
    <w:p>
      <w:pPr>
        <w:ind w:firstLine="0" w:firstLineChars="0"/>
      </w:pPr>
      <w:r>
        <w:drawing>
          <wp:inline distT="0" distB="0" distL="114300" distR="114300">
            <wp:extent cx="5243830" cy="2940050"/>
            <wp:effectExtent l="0" t="0" r="13970" b="12700"/>
            <wp:docPr id="6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1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67" w:name="_Toc17363"/>
      <w:r>
        <w:rPr>
          <w:rFonts w:hint="eastAsia"/>
        </w:rPr>
        <w:t>等待开标</w:t>
      </w:r>
      <w:bookmarkEnd w:id="67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投标人等待开标时需要签到，等候开标</w:t>
      </w:r>
      <w:r>
        <w:rPr>
          <w:bCs/>
        </w:rPr>
        <w:t>。</w:t>
      </w:r>
    </w:p>
    <w:p>
      <w:pPr>
        <w:ind w:firstLine="422"/>
        <w:rPr>
          <w:color w:val="FF0000"/>
        </w:rPr>
      </w:pPr>
      <w:r>
        <w:rPr>
          <w:b/>
        </w:rPr>
        <w:t>前置条件：</w:t>
      </w:r>
      <w:r>
        <w:rPr>
          <w:rFonts w:hint="eastAsia"/>
          <w:bCs/>
        </w:rPr>
        <w:t>开标时间未到</w:t>
      </w:r>
      <w: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7"/>
        </w:numPr>
        <w:tabs>
          <w:tab w:val="left" w:pos="464"/>
        </w:tabs>
      </w:pPr>
      <w:r>
        <w:rPr>
          <w:rFonts w:hint="eastAsia"/>
        </w:rPr>
        <w:tab/>
      </w:r>
      <w:r>
        <w:rPr>
          <w:rFonts w:hint="eastAsia"/>
        </w:rPr>
        <w:t>点击下方“签到”按钮进行签到，开标前可以签到</w:t>
      </w:r>
      <w:r>
        <w:t>。</w:t>
      </w:r>
    </w:p>
    <w:p>
      <w:pPr>
        <w:ind w:firstLine="0" w:firstLineChars="0"/>
      </w:pPr>
      <w:r>
        <w:drawing>
          <wp:inline distT="0" distB="0" distL="0" distR="0">
            <wp:extent cx="5248910" cy="2672080"/>
            <wp:effectExtent l="19050" t="0" r="889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72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0" distR="0">
            <wp:extent cx="5248910" cy="2647950"/>
            <wp:effectExtent l="19050" t="0" r="889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48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签到成功之后，按钮灰化，无需再次签到，同时第一个座位图右下角出现绿色√；</w:t>
      </w:r>
    </w:p>
    <w:p>
      <w:pPr>
        <w:ind w:firstLine="0" w:firstLineChars="0"/>
      </w:pPr>
      <w:r>
        <w:drawing>
          <wp:inline distT="0" distB="0" distL="0" distR="0">
            <wp:extent cx="5248910" cy="2632710"/>
            <wp:effectExtent l="19050" t="0" r="889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3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左侧中下方的座位图显示的是投标人签到在线情况，第一个座位是当前投标人的，蓝色代表在线，白色代表离线，有下角的√代表已签到；</w:t>
      </w:r>
    </w:p>
    <w:p>
      <w:pPr>
        <w:ind w:left="420" w:leftChars="200" w:firstLine="0" w:firstLineChars="0"/>
      </w:pPr>
      <w:r>
        <w:rPr>
          <w:rFonts w:hint="eastAsia"/>
        </w:rPr>
        <w:t>在席：</w:t>
      </w:r>
      <w:r>
        <w:drawing>
          <wp:inline distT="0" distB="0" distL="114300" distR="114300">
            <wp:extent cx="680085" cy="629285"/>
            <wp:effectExtent l="0" t="0" r="5715" b="5715"/>
            <wp:docPr id="3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0085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离席：</w:t>
      </w:r>
      <w:r>
        <w:drawing>
          <wp:inline distT="0" distB="0" distL="114300" distR="114300">
            <wp:extent cx="665480" cy="629285"/>
            <wp:effectExtent l="0" t="0" r="7620" b="5715"/>
            <wp:docPr id="3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，已签到：</w:t>
      </w:r>
      <w:r>
        <w:drawing>
          <wp:inline distT="0" distB="0" distL="114300" distR="114300">
            <wp:extent cx="1718945" cy="680085"/>
            <wp:effectExtent l="0" t="0" r="8255" b="5715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718945" cy="68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</w:pPr>
      <w:r>
        <w:rPr>
          <w:rFonts w:hint="eastAsia"/>
        </w:rPr>
        <w:t>点击座位图下方“查看更过”，可以查看所有投标人情况；</w:t>
      </w:r>
    </w:p>
    <w:p>
      <w:pPr>
        <w:ind w:firstLine="0" w:firstLineChars="0"/>
      </w:pPr>
      <w:r>
        <w:drawing>
          <wp:inline distT="0" distB="0" distL="0" distR="0">
            <wp:extent cx="5248910" cy="2660650"/>
            <wp:effectExtent l="19050" t="0" r="8890" b="0"/>
            <wp:docPr id="7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660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68" w:name="_Toc4536"/>
      <w:r>
        <w:rPr>
          <w:rFonts w:hint="eastAsia"/>
        </w:rPr>
        <w:t>公布投标人</w:t>
      </w:r>
      <w:bookmarkEnd w:id="68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主持人公布投标人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开标时间已到</w:t>
      </w:r>
      <w: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无，观看即可；</w:t>
      </w:r>
    </w:p>
    <w:p>
      <w:pPr>
        <w:pStyle w:val="3"/>
      </w:pPr>
      <w:bookmarkStart w:id="69" w:name="_Toc8620"/>
      <w:r>
        <w:rPr>
          <w:rFonts w:hint="eastAsia"/>
        </w:rPr>
        <w:t>查看投标人名单</w:t>
      </w:r>
      <w:bookmarkEnd w:id="69"/>
    </w:p>
    <w:p>
      <w:pPr>
        <w:ind w:firstLine="422"/>
      </w:pPr>
      <w:r>
        <w:rPr>
          <w:b/>
        </w:rPr>
        <w:t>功能说明：</w:t>
      </w:r>
      <w:r>
        <w:rPr>
          <w:rFonts w:hint="eastAsia"/>
          <w:bCs/>
        </w:rPr>
        <w:t>查看投标人名单</w:t>
      </w:r>
      <w: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主持人已公布投标人</w:t>
      </w:r>
      <w:r>
        <w:t>。</w:t>
      </w:r>
    </w:p>
    <w:p>
      <w:pPr>
        <w:rPr>
          <w:color w:val="FF0000"/>
        </w:rPr>
      </w:pPr>
      <w:r>
        <w:rPr>
          <w:rFonts w:hint="eastAsia"/>
          <w:color w:val="FF0000"/>
        </w:rPr>
        <w:t>注：最终撤销的单位无需参加后续流程；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8"/>
        </w:numPr>
      </w:pPr>
      <w:r>
        <w:rPr>
          <w:rFonts w:hint="eastAsia"/>
        </w:rPr>
        <w:t>可查看</w:t>
      </w:r>
      <w:r>
        <w:rPr>
          <w:rFonts w:hint="eastAsia"/>
          <w:lang w:val="en-US" w:eastAsia="zh-CN"/>
        </w:rPr>
        <w:t>自己所在单位投标文件的递交状态、启封状态、是否撤回。</w:t>
      </w:r>
      <w:r>
        <w:rPr>
          <w:rFonts w:hint="eastAsia"/>
        </w:rPr>
        <w:t>主持人撤销的投标文件的撤销原因；</w:t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  <w:r>
        <w:drawing>
          <wp:inline distT="0" distB="0" distL="114300" distR="114300">
            <wp:extent cx="5239385" cy="2949575"/>
            <wp:effectExtent l="0" t="0" r="18415" b="3175"/>
            <wp:docPr id="6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294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058410" cy="2128520"/>
            <wp:effectExtent l="19050" t="0" r="8832" b="0"/>
            <wp:docPr id="26" name="图片 26" descr="C:\Users\Administrator\Documents\Tencent Files\1402309573\Image\C2C\ULJWO3{][XDG0C]Y20)[W)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:\Users\Administrator\Documents\Tencent Files\1402309573\Image\C2C\ULJWO3{][XDG0C]Y20)[W)7.pn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3220" cy="2126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0" w:name="_Toc12695"/>
      <w:r>
        <w:rPr>
          <w:rFonts w:hint="eastAsia"/>
        </w:rPr>
        <w:t>投标人解密</w:t>
      </w:r>
      <w:bookmarkEnd w:id="70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已公布的投标人进行解密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</w:rPr>
        <w:t>公布投标人</w:t>
      </w:r>
      <w:r>
        <w:t>。</w:t>
      </w:r>
    </w:p>
    <w:p>
      <w:pPr>
        <w:rPr>
          <w:color w:val="FF0000"/>
        </w:rPr>
      </w:pPr>
      <w:r>
        <w:rPr>
          <w:rFonts w:hint="eastAsia"/>
          <w:color w:val="FF0000"/>
        </w:rPr>
        <w:t>注：解密时限1小时。</w:t>
      </w:r>
      <w:r>
        <w:rPr>
          <w:color w:val="FF0000"/>
        </w:rPr>
        <w:t xml:space="preserve"> 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9"/>
        </w:numPr>
      </w:pPr>
      <w:r>
        <w:rPr>
          <w:rFonts w:hint="eastAsia"/>
        </w:rPr>
        <w:t>在解密时间内插入CA锁，输入密码，进行解密；解密时间已到不可解密；如果在解密时间内解密失败，可再次解密；</w:t>
      </w:r>
    </w:p>
    <w:p>
      <w:pPr>
        <w:widowControl/>
        <w:spacing w:line="240" w:lineRule="auto"/>
        <w:ind w:firstLine="0" w:firstLineChars="0"/>
        <w:rPr>
          <w:rFonts w:ascii="宋体" w:hAnsi="宋体" w:cs="宋体"/>
          <w:kern w:val="0"/>
          <w:sz w:val="24"/>
        </w:rPr>
      </w:pPr>
      <w:r>
        <w:drawing>
          <wp:inline distT="0" distB="0" distL="0" distR="0">
            <wp:extent cx="5335905" cy="2940050"/>
            <wp:effectExtent l="0" t="0" r="17145" b="1270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335905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</w:pPr>
      <w:r>
        <w:rPr>
          <w:rFonts w:hint="eastAsia"/>
        </w:rPr>
        <w:t>解密成功的单位的图标变为绿色开锁图标；</w:t>
      </w:r>
    </w:p>
    <w:p>
      <w:pPr>
        <w:widowControl/>
        <w:spacing w:line="240" w:lineRule="auto"/>
        <w:ind w:firstLine="0" w:firstLineChars="0"/>
      </w:pPr>
      <w:r>
        <w:drawing>
          <wp:inline distT="0" distB="0" distL="114300" distR="114300">
            <wp:extent cx="5243830" cy="3102610"/>
            <wp:effectExtent l="0" t="0" r="13970" b="2540"/>
            <wp:docPr id="6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4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10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pStyle w:val="3"/>
      </w:pPr>
      <w:bookmarkStart w:id="71" w:name="_Toc31859"/>
      <w:r>
        <w:rPr>
          <w:rFonts w:hint="eastAsia"/>
        </w:rPr>
        <w:t>招标人解密</w:t>
      </w:r>
      <w:bookmarkEnd w:id="71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招标人解密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投标人全部解密完成，或者解密时间已到</w:t>
      </w:r>
      <w:r>
        <w:t>。</w:t>
      </w:r>
    </w:p>
    <w:p>
      <w:pPr>
        <w:ind w:firstLine="422"/>
        <w:rPr>
          <w:rFonts w:ascii="宋体" w:hAnsi="宋体" w:cs="宋体"/>
          <w:kern w:val="0"/>
          <w:sz w:val="24"/>
        </w:rPr>
      </w:pPr>
      <w:r>
        <w:rPr>
          <w:b/>
          <w:bCs/>
        </w:rPr>
        <w:t>操作步骤：</w:t>
      </w:r>
      <w:r>
        <w:rPr>
          <w:rFonts w:hint="eastAsia"/>
        </w:rPr>
        <w:t>观看即可，有异议可点“开标异议文字提问”提出异议；招标人解密成功展示：</w:t>
      </w:r>
      <w:r>
        <w:drawing>
          <wp:inline distT="0" distB="0" distL="114300" distR="114300">
            <wp:extent cx="5239385" cy="3083560"/>
            <wp:effectExtent l="0" t="0" r="18415" b="2540"/>
            <wp:docPr id="6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2" w:name="_Toc15923"/>
      <w:r>
        <w:rPr>
          <w:rFonts w:hint="eastAsia"/>
        </w:rPr>
        <w:t>批量导入</w:t>
      </w:r>
      <w:bookmarkEnd w:id="72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批量导入文件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招标人解密成功</w:t>
      </w:r>
      <w:r>
        <w:rPr>
          <w:bCs/>
        </w:rP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观看即可，有异议可点击“开标异议文字提问”提出异议；批量导入成功展示：</w:t>
      </w: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5431790" cy="2635885"/>
            <wp:effectExtent l="19050" t="0" r="0" b="0"/>
            <wp:docPr id="40" name="图片 40" descr="C:\Users\Administrator\Documents\Tencent Files\1402309573\Image\C2C\G1]}SS3F6_QN8[KUT)JQT`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C:\Users\Administrator\Documents\Tencent Files\1402309573\Image\C2C\G1]}SS3F6_QN8[KUT)JQT`M.pn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2278" cy="2635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3" w:name="_Toc7017"/>
      <w:r>
        <w:rPr>
          <w:rFonts w:hint="eastAsia"/>
        </w:rPr>
        <w:t>唱标</w:t>
      </w:r>
      <w:bookmarkEnd w:id="73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唱标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批量导入成功</w:t>
      </w:r>
      <w:r>
        <w:t>。</w:t>
      </w:r>
    </w:p>
    <w:p>
      <w:pPr>
        <w:ind w:firstLine="422"/>
      </w:pPr>
      <w:r>
        <w:rPr>
          <w:b/>
          <w:bCs/>
        </w:rPr>
        <w:t>操作步骤：</w:t>
      </w:r>
      <w:r>
        <w:rPr>
          <w:rFonts w:hint="eastAsia"/>
        </w:rPr>
        <w:t>观看即可，“开标异议文字提问”提出异议；</w:t>
      </w:r>
    </w:p>
    <w:p>
      <w:r>
        <w:drawing>
          <wp:inline distT="0" distB="0" distL="114300" distR="114300">
            <wp:extent cx="5247640" cy="2948305"/>
            <wp:effectExtent l="0" t="0" r="10160" b="4445"/>
            <wp:docPr id="69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6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47640" cy="294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74" w:name="_Toc29625"/>
      <w:bookmarkStart w:id="75" w:name="_Toc16409"/>
      <w:r>
        <w:rPr>
          <w:rFonts w:hint="eastAsia"/>
        </w:rPr>
        <w:t>开标结束</w:t>
      </w:r>
      <w:bookmarkEnd w:id="74"/>
      <w:bookmarkEnd w:id="75"/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开标结束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唱标结束</w:t>
      </w:r>
      <w:r>
        <w:rPr>
          <w:bCs/>
        </w:rPr>
        <w:t>。</w:t>
      </w:r>
    </w:p>
    <w:p>
      <w:pPr>
        <w:ind w:firstLine="422"/>
        <w:rPr>
          <w:b/>
          <w:bCs/>
        </w:rPr>
      </w:pPr>
      <w:r>
        <w:rPr>
          <w:b/>
          <w:bCs/>
        </w:rPr>
        <w:t>操作步骤：</w:t>
      </w:r>
    </w:p>
    <w:p>
      <w:pPr>
        <w:numPr>
          <w:ilvl w:val="0"/>
          <w:numId w:val="10"/>
        </w:numPr>
      </w:pPr>
      <w:r>
        <w:rPr>
          <w:rFonts w:hint="eastAsia"/>
        </w:rPr>
        <w:t>技术标开标结束之后，页面有“开标评价”按钮。</w:t>
      </w:r>
    </w:p>
    <w:p>
      <w:pPr>
        <w:ind w:firstLine="0" w:firstLineChars="0"/>
      </w:pPr>
      <w:r>
        <w:drawing>
          <wp:inline distT="0" distB="0" distL="114300" distR="114300">
            <wp:extent cx="5247005" cy="3023870"/>
            <wp:effectExtent l="0" t="0" r="10795" b="5080"/>
            <wp:docPr id="7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47005" cy="302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  <w:r>
        <w:drawing>
          <wp:inline distT="0" distB="0" distL="114300" distR="114300">
            <wp:extent cx="5245735" cy="3177540"/>
            <wp:effectExtent l="0" t="0" r="12065" b="3810"/>
            <wp:docPr id="71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45735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</w:pPr>
    </w:p>
    <w:p>
      <w:pPr>
        <w:pStyle w:val="3"/>
        <w:ind w:left="142"/>
      </w:pPr>
      <w:bookmarkStart w:id="76" w:name="_Toc29191"/>
      <w:r>
        <w:rPr>
          <w:rFonts w:hint="eastAsia"/>
        </w:rPr>
        <w:t>系数录入（含系数抽取的项目）</w:t>
      </w:r>
      <w:bookmarkEnd w:id="76"/>
    </w:p>
    <w:p/>
    <w:p>
      <w:pPr>
        <w:ind w:firstLine="422"/>
      </w:pPr>
      <w:r>
        <w:rPr>
          <w:rFonts w:hint="eastAsia"/>
          <w:b/>
          <w:bCs/>
        </w:rPr>
        <w:t>注意：</w:t>
      </w:r>
      <w:r>
        <w:rPr>
          <w:rFonts w:hint="eastAsia"/>
        </w:rPr>
        <w:t>针对部分评标办法含系数抽取的项目，开标结束后会有直播现场摇号抽取，在线录入抽取系数环节。</w:t>
      </w:r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系数录入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批量导入成功</w:t>
      </w:r>
      <w:r>
        <w:t>。</w:t>
      </w:r>
    </w:p>
    <w:p>
      <w:pPr>
        <w:ind w:firstLine="422"/>
        <w:rPr>
          <w:rFonts w:hint="eastAsia"/>
        </w:rPr>
      </w:pPr>
      <w:r>
        <w:rPr>
          <w:b/>
          <w:bCs/>
        </w:rPr>
        <w:t>操作步骤：</w:t>
      </w:r>
      <w:r>
        <w:rPr>
          <w:rFonts w:hint="eastAsia"/>
        </w:rPr>
        <w:t>观看即可，系数抽取录入完成展示：</w:t>
      </w:r>
    </w:p>
    <w:p>
      <w:pPr>
        <w:ind w:left="0" w:leftChars="0" w:firstLine="0" w:firstLineChars="0"/>
        <w:rPr>
          <w:rFonts w:hint="eastAsia"/>
        </w:rPr>
      </w:pPr>
      <w:r>
        <w:drawing>
          <wp:inline distT="0" distB="0" distL="114300" distR="114300">
            <wp:extent cx="5239385" cy="3085465"/>
            <wp:effectExtent l="0" t="0" r="18415" b="635"/>
            <wp:docPr id="7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1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308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ind w:left="142"/>
      </w:pPr>
      <w:bookmarkStart w:id="77" w:name="_Toc15728"/>
      <w:r>
        <w:rPr>
          <w:rFonts w:hint="eastAsia"/>
        </w:rPr>
        <w:t>评标过程中询标</w:t>
      </w:r>
      <w:bookmarkEnd w:id="77"/>
    </w:p>
    <w:p>
      <w:pPr>
        <w:ind w:firstLine="422"/>
      </w:pPr>
      <w:r>
        <w:rPr>
          <w:rFonts w:hint="eastAsia"/>
          <w:b/>
          <w:bCs/>
        </w:rPr>
        <w:t>注意：</w:t>
      </w:r>
      <w:r>
        <w:rPr>
          <w:rFonts w:hint="eastAsia"/>
          <w:color w:val="FF0000"/>
        </w:rPr>
        <w:t>不见面开标大厅只针对开标环节一些操作，系数抽取完成后不见面开标系统直播结束，评标过程中的询标和原先操作一致。</w:t>
      </w:r>
    </w:p>
    <w:p>
      <w:pPr>
        <w:ind w:firstLine="422"/>
        <w:rPr>
          <w:bCs/>
        </w:rPr>
      </w:pPr>
      <w:r>
        <w:rPr>
          <w:b/>
        </w:rPr>
        <w:t>功能说明：</w:t>
      </w:r>
      <w:r>
        <w:rPr>
          <w:rFonts w:hint="eastAsia"/>
          <w:bCs/>
        </w:rPr>
        <w:t>评标过程中询标</w:t>
      </w:r>
      <w:r>
        <w:rPr>
          <w:bCs/>
        </w:rPr>
        <w:t>。</w:t>
      </w:r>
    </w:p>
    <w:p>
      <w:pPr>
        <w:ind w:firstLine="422"/>
      </w:pPr>
      <w:r>
        <w:rPr>
          <w:b/>
        </w:rPr>
        <w:t>前置条件：</w:t>
      </w:r>
      <w:r>
        <w:rPr>
          <w:rFonts w:hint="eastAsia"/>
          <w:bCs/>
        </w:rPr>
        <w:t>开标结束</w:t>
      </w:r>
      <w:r>
        <w:t>。</w:t>
      </w:r>
    </w:p>
    <w:p>
      <w:pPr>
        <w:ind w:firstLine="422"/>
        <w:rPr>
          <w:rFonts w:ascii="Calibri" w:hAnsi="Calibri"/>
          <w:lang w:bidi="ar"/>
        </w:rPr>
      </w:pPr>
      <w:r>
        <w:rPr>
          <w:b/>
          <w:bCs/>
        </w:rPr>
        <w:t>操作步骤：</w:t>
      </w:r>
      <w:r>
        <w:rPr>
          <w:rFonts w:hint="eastAsia" w:ascii="Calibri" w:hAnsi="Calibri"/>
          <w:lang w:bidi="ar"/>
        </w:rPr>
        <w:t>如评标过程中评委评标过程中需要投标单位澄清回复，投标单位须在规定时间进行回复，请投标人及时关注系统，操作流程如下：</w:t>
      </w:r>
    </w:p>
    <w:p>
      <w:pPr>
        <w:numPr>
          <w:ilvl w:val="0"/>
          <w:numId w:val="11"/>
        </w:numPr>
        <w:ind w:firstLine="420"/>
        <w:jc w:val="both"/>
      </w:pPr>
      <w:r>
        <w:rPr>
          <w:rFonts w:hint="eastAsia" w:ascii="Calibri" w:hAnsi="Calibri" w:cs="宋体"/>
          <w:lang w:bidi="ar"/>
        </w:rPr>
        <w:t>点到如下图所示的位置“评标澄清回复”，点击</w:t>
      </w:r>
      <w:r>
        <w:rPr>
          <w:rFonts w:hint="eastAsia" w:ascii="Calibri" w:hAnsi="Calibri" w:cs="宋体"/>
          <w:lang w:val="en-US" w:eastAsia="zh-CN" w:bidi="ar"/>
        </w:rPr>
        <w:t>进行回复</w:t>
      </w:r>
    </w:p>
    <w:p>
      <w:pPr>
        <w:ind w:left="420" w:leftChars="200" w:firstLine="0" w:firstLineChars="0"/>
        <w:jc w:val="both"/>
      </w:pPr>
      <w:r>
        <w:drawing>
          <wp:inline distT="0" distB="0" distL="0" distR="0">
            <wp:extent cx="5302250" cy="2235200"/>
            <wp:effectExtent l="0" t="0" r="12700" b="1270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302250" cy="2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jc w:val="both"/>
      </w:pPr>
    </w:p>
    <w:p>
      <w:pPr>
        <w:numPr>
          <w:ilvl w:val="0"/>
          <w:numId w:val="11"/>
        </w:numPr>
        <w:ind w:firstLine="420"/>
        <w:jc w:val="both"/>
      </w:pPr>
      <w:r>
        <w:rPr>
          <w:rFonts w:hint="eastAsia" w:ascii="Calibri" w:hAnsi="Calibri" w:cs="宋体"/>
          <w:lang w:bidi="ar"/>
        </w:rPr>
        <w:t>输入需要回答的内容，如需要上传附件，请上传附件，如不需要则不传，输入完成后，然后在点击“签章确认”</w:t>
      </w:r>
    </w:p>
    <w:p>
      <w:pPr>
        <w:jc w:val="both"/>
      </w:pPr>
      <w:r>
        <w:drawing>
          <wp:inline distT="0" distB="0" distL="0" distR="0">
            <wp:extent cx="5342255" cy="866775"/>
            <wp:effectExtent l="0" t="0" r="1079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  <w:r>
        <w:drawing>
          <wp:inline distT="0" distB="0" distL="0" distR="0">
            <wp:extent cx="5354320" cy="2901315"/>
            <wp:effectExtent l="0" t="0" r="17780" b="1333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35432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numPr>
          <w:ilvl w:val="0"/>
          <w:numId w:val="11"/>
        </w:numPr>
        <w:ind w:firstLine="420"/>
        <w:jc w:val="both"/>
        <w:rPr>
          <w:rFonts w:ascii="Calibri" w:hAnsi="Calibri" w:cs="宋体"/>
          <w:lang w:bidi="ar"/>
        </w:rPr>
      </w:pPr>
      <w:r>
        <w:rPr>
          <w:rFonts w:hint="eastAsia" w:ascii="Calibri" w:hAnsi="Calibri" w:cs="宋体"/>
          <w:lang w:bidi="ar"/>
        </w:rPr>
        <w:t>点击签章确认后，会弹出到如下图所示的界面，点击签章按钮后，输入密码，点击确定即可</w:t>
      </w:r>
    </w:p>
    <w:p>
      <w:pPr>
        <w:jc w:val="both"/>
      </w:pPr>
    </w:p>
    <w:p>
      <w:pPr>
        <w:jc w:val="both"/>
      </w:pPr>
      <w:r>
        <w:rPr>
          <w:rFonts w:ascii="Calibri" w:hAnsi="Calibri"/>
        </w:rPr>
        <w:drawing>
          <wp:inline distT="0" distB="0" distL="114300" distR="114300">
            <wp:extent cx="5270500" cy="2946400"/>
            <wp:effectExtent l="0" t="0" r="0" b="0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94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firstLine="420"/>
        <w:jc w:val="both"/>
        <w:rPr>
          <w:rFonts w:ascii="Calibri" w:hAnsi="Calibri" w:cs="宋体"/>
          <w:lang w:bidi="ar"/>
        </w:rPr>
      </w:pPr>
      <w:r>
        <w:rPr>
          <w:rFonts w:hint="eastAsia" w:ascii="Calibri" w:hAnsi="Calibri" w:cs="宋体"/>
          <w:lang w:bidi="ar"/>
        </w:rPr>
        <w:t>盖完章之后点击签章提交按钮即可</w:t>
      </w:r>
    </w:p>
    <w:p>
      <w:pPr>
        <w:jc w:val="both"/>
      </w:pPr>
      <w:r>
        <w:rPr>
          <w:rFonts w:ascii="Calibri" w:hAnsi="Calibri"/>
        </w:rPr>
        <w:drawing>
          <wp:inline distT="0" distB="0" distL="114300" distR="114300">
            <wp:extent cx="5270500" cy="3149600"/>
            <wp:effectExtent l="0" t="0" r="0" b="0"/>
            <wp:docPr id="24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jc w:val="both"/>
      </w:pPr>
    </w:p>
    <w:p>
      <w:pPr>
        <w:numPr>
          <w:ilvl w:val="0"/>
          <w:numId w:val="11"/>
        </w:numPr>
        <w:ind w:firstLine="420"/>
        <w:jc w:val="both"/>
        <w:rPr>
          <w:rFonts w:ascii="Calibri" w:hAnsi="Calibri" w:cs="宋体"/>
          <w:lang w:bidi="ar"/>
        </w:rPr>
      </w:pPr>
      <w:r>
        <w:rPr>
          <w:rFonts w:hint="eastAsia" w:ascii="Calibri" w:hAnsi="Calibri" w:cs="宋体"/>
          <w:lang w:bidi="ar"/>
        </w:rPr>
        <w:t>提交完成后看下回复状态，回复成功后会在“已回复”列表里面</w:t>
      </w:r>
    </w:p>
    <w:p>
      <w:pPr>
        <w:ind w:left="0" w:leftChars="0" w:firstLine="0" w:firstLineChars="0"/>
        <w:jc w:val="both"/>
      </w:pPr>
      <w:r>
        <w:drawing>
          <wp:inline distT="0" distB="0" distL="114300" distR="114300">
            <wp:extent cx="5238115" cy="1492885"/>
            <wp:effectExtent l="0" t="0" r="635" b="12065"/>
            <wp:docPr id="6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38115" cy="149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jc w:val="both"/>
      </w:pPr>
      <w:r>
        <w:rPr>
          <w:rFonts w:hint="eastAsia" w:ascii="Calibri" w:hAnsi="Calibri" w:cs="宋体"/>
          <w:lang w:bidi="ar"/>
        </w:rPr>
        <w:t>温馨提示：解密前一定要装驱动，如已经安装可忽略此项，驱动下载地址</w:t>
      </w:r>
      <w:r>
        <w:rPr>
          <w:rFonts w:hint="eastAsia" w:ascii="Calibri" w:hAnsi="Calibri" w:cs="宋体"/>
          <w:lang w:eastAsia="zh-CN" w:bidi="ar"/>
        </w:rPr>
        <w:t>：https://download.bqpoint.com/?SourceFrom=Ztb&amp;ZtbSoftXiaQuCode=1203&amp;ZtbSoftType=DR&amp;SoftGuid=179c1716-0913-4138-b4d8-adc0f3692f8d&amp;RootGuid=fd78aba1-b9ad-4a73-91bf-61e65906e7e7&amp;softtypecode=06</w:t>
      </w:r>
    </w:p>
    <w:p>
      <w:pPr>
        <w:jc w:val="both"/>
        <w:rPr>
          <w:color w:val="FF0000"/>
        </w:rPr>
      </w:pPr>
      <w:r>
        <w:rPr>
          <w:rFonts w:hint="eastAsia" w:ascii="Calibri" w:hAnsi="Calibri" w:cs="宋体"/>
          <w:color w:val="FF0000"/>
          <w:lang w:bidi="ar"/>
        </w:rPr>
        <w:t>如操作过程中遇到问题请联系技术支持电话：</w:t>
      </w:r>
      <w:r>
        <w:rPr>
          <w:rFonts w:ascii="Calibri" w:hAnsi="Calibri"/>
          <w:color w:val="FF0000"/>
          <w:lang w:bidi="ar"/>
        </w:rPr>
        <w:t>4009980000</w:t>
      </w:r>
    </w:p>
    <w:p>
      <w:pPr>
        <w:jc w:val="both"/>
        <w:rPr>
          <w:rFonts w:ascii="宋体" w:hAnsi="宋体" w:cs="宋体"/>
          <w:color w:val="FF0000"/>
          <w:szCs w:val="21"/>
        </w:rPr>
      </w:pPr>
      <w:r>
        <w:rPr>
          <w:rFonts w:hint="eastAsia" w:ascii="Calibri" w:hAnsi="Calibri" w:cs="宋体"/>
          <w:color w:val="FF0000"/>
          <w:lang w:bidi="ar"/>
        </w:rPr>
        <w:t>如</w:t>
      </w:r>
      <w:r>
        <w:rPr>
          <w:rFonts w:ascii="Calibri" w:hAnsi="Calibri"/>
          <w:color w:val="FF0000"/>
          <w:lang w:bidi="ar"/>
        </w:rPr>
        <w:t>ca</w:t>
      </w:r>
      <w:r>
        <w:rPr>
          <w:rFonts w:hint="eastAsia" w:ascii="Calibri" w:hAnsi="Calibri" w:cs="宋体"/>
          <w:color w:val="FF0000"/>
          <w:lang w:bidi="ar"/>
        </w:rPr>
        <w:t>锁有问题请联系技术支持电话：</w:t>
      </w:r>
      <w:r>
        <w:rPr>
          <w:rFonts w:hint="eastAsia" w:ascii="宋体" w:hAnsi="宋体" w:cs="宋体"/>
          <w:color w:val="FF0000"/>
          <w:szCs w:val="21"/>
          <w:lang w:bidi="ar"/>
        </w:rPr>
        <w:t>400-880-4959</w:t>
      </w:r>
    </w:p>
    <w:p>
      <w:pPr>
        <w:jc w:val="both"/>
        <w:rPr>
          <w:rFonts w:ascii="宋体" w:hAnsi="宋体" w:cs="宋体"/>
          <w:color w:val="FF0000"/>
          <w:szCs w:val="21"/>
        </w:rPr>
      </w:pPr>
      <w:r>
        <w:rPr>
          <w:rFonts w:hint="eastAsia" w:ascii="宋体" w:hAnsi="宋体" w:cs="宋体"/>
          <w:color w:val="FF0000"/>
          <w:szCs w:val="21"/>
          <w:lang w:bidi="ar"/>
        </w:rPr>
        <w:t>如开标过程中的业务咨询问题请联系各自项目的代理机构，具体的电话参照报名项目的招标公告。</w:t>
      </w:r>
    </w:p>
    <w:p>
      <w:pPr>
        <w:ind w:firstLine="0" w:firstLineChars="0"/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843" w:header="454" w:footer="680" w:gutter="0"/>
      <w:pgNumType w:fmt="decimal" w:start="1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/>
      <w:spacing w:line="240" w:lineRule="auto"/>
      <w:ind w:firstLine="360"/>
      <w:jc w:val="center"/>
      <w:rPr>
        <w:lang w:val="zh-CN"/>
      </w:rPr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6" name="文本框 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O2AGcH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lang w:val="zh-CN"/>
      </w:rPr>
      <w:t>江苏国泰新点软件有限公司4009980000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87" name="文本框 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/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/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1"/>
      </w:pBdr>
      <w:spacing w:line="240" w:lineRule="auto"/>
      <w:ind w:firstLine="0" w:firstLineChars="0"/>
      <w:jc w:val="left"/>
      <w:rPr>
        <w:color w:val="000000"/>
      </w:rPr>
    </w:pPr>
    <w:r>
      <w:rPr>
        <w:rFonts w:ascii="宋体" w:hAnsi="宋体"/>
      </w:rPr>
      <w:drawing>
        <wp:inline distT="0" distB="0" distL="114300" distR="114300">
          <wp:extent cx="600075" cy="307340"/>
          <wp:effectExtent l="0" t="0" r="9525" b="10160"/>
          <wp:docPr id="43" name="图片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图片 1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00075" cy="3073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Cambria" w:hAnsi="Cambria"/>
      </w:rPr>
      <w:t xml:space="preserve">操作手册                            </w:t>
    </w:r>
    <w:r>
      <w:rPr>
        <w:rFonts w:hint="eastAsia"/>
        <w:lang w:val="en-US" w:eastAsia="zh-CN"/>
      </w:rPr>
      <w:t>滁州</w:t>
    </w:r>
    <w:r>
      <w:rPr>
        <w:rFonts w:hint="eastAsia"/>
      </w:rPr>
      <w:t>不见面开标操作手册（投标人）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CCCCAA"/>
    <w:multiLevelType w:val="singleLevel"/>
    <w:tmpl w:val="98CCCCAA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B7987D18"/>
    <w:multiLevelType w:val="singleLevel"/>
    <w:tmpl w:val="B7987D18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B8CF6A8C"/>
    <w:multiLevelType w:val="singleLevel"/>
    <w:tmpl w:val="B8CF6A8C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BE14EF26"/>
    <w:multiLevelType w:val="singleLevel"/>
    <w:tmpl w:val="BE14EF26"/>
    <w:lvl w:ilvl="0" w:tentative="0">
      <w:start w:val="2"/>
      <w:numFmt w:val="decimal"/>
      <w:suff w:val="nothing"/>
      <w:lvlText w:val="%1、"/>
      <w:lvlJc w:val="left"/>
    </w:lvl>
  </w:abstractNum>
  <w:abstractNum w:abstractNumId="4">
    <w:nsid w:val="D75E355F"/>
    <w:multiLevelType w:val="singleLevel"/>
    <w:tmpl w:val="D75E355F"/>
    <w:lvl w:ilvl="0" w:tentative="0">
      <w:start w:val="1"/>
      <w:numFmt w:val="decimal"/>
      <w:suff w:val="space"/>
      <w:lvlText w:val="%1、"/>
      <w:lvlJc w:val="left"/>
    </w:lvl>
  </w:abstractNum>
  <w:abstractNum w:abstractNumId="5">
    <w:nsid w:val="01C6927D"/>
    <w:multiLevelType w:val="singleLevel"/>
    <w:tmpl w:val="01C6927D"/>
    <w:lvl w:ilvl="0" w:tentative="0">
      <w:start w:val="1"/>
      <w:numFmt w:val="decimal"/>
      <w:suff w:val="space"/>
      <w:lvlText w:val="%1、"/>
      <w:lvlJc w:val="left"/>
    </w:lvl>
  </w:abstractNum>
  <w:abstractNum w:abstractNumId="6">
    <w:nsid w:val="0FE9633F"/>
    <w:multiLevelType w:val="singleLevel"/>
    <w:tmpl w:val="0FE9633F"/>
    <w:lvl w:ilvl="0" w:tentative="0">
      <w:start w:val="1"/>
      <w:numFmt w:val="decimal"/>
      <w:suff w:val="nothing"/>
      <w:lvlText w:val="%1、"/>
      <w:lvlJc w:val="left"/>
    </w:lvl>
  </w:abstractNum>
  <w:abstractNum w:abstractNumId="7">
    <w:nsid w:val="2888DAE6"/>
    <w:multiLevelType w:val="singleLevel"/>
    <w:tmpl w:val="2888DAE6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8">
    <w:nsid w:val="4E6D15E7"/>
    <w:multiLevelType w:val="singleLevel"/>
    <w:tmpl w:val="4E6D15E7"/>
    <w:lvl w:ilvl="0" w:tentative="0">
      <w:start w:val="1"/>
      <w:numFmt w:val="decimal"/>
      <w:suff w:val="space"/>
      <w:lvlText w:val="%1、"/>
      <w:lvlJc w:val="left"/>
    </w:lvl>
  </w:abstractNum>
  <w:abstractNum w:abstractNumId="9">
    <w:nsid w:val="54BFF3B9"/>
    <w:multiLevelType w:val="singleLevel"/>
    <w:tmpl w:val="54BFF3B9"/>
    <w:lvl w:ilvl="0" w:tentative="0">
      <w:start w:val="1"/>
      <w:numFmt w:val="decimal"/>
      <w:suff w:val="nothing"/>
      <w:lvlText w:val="%1、"/>
      <w:lvlJc w:val="left"/>
    </w:lvl>
  </w:abstractNum>
  <w:abstractNum w:abstractNumId="10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284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426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426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284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1261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405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549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693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837" w:hanging="1584"/>
      </w:pPr>
      <w:rPr>
        <w:rFonts w:hint="eastAsia"/>
      </w:r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0"/>
  </w:num>
  <w:num w:numId="5">
    <w:abstractNumId w:val="1"/>
  </w:num>
  <w:num w:numId="6">
    <w:abstractNumId w:val="2"/>
  </w:num>
  <w:num w:numId="7">
    <w:abstractNumId w:val="6"/>
  </w:num>
  <w:num w:numId="8">
    <w:abstractNumId w:val="4"/>
  </w:num>
  <w:num w:numId="9">
    <w:abstractNumId w:val="8"/>
  </w:num>
  <w:num w:numId="10">
    <w:abstractNumId w:val="5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cumentProtection w:enforcement="0"/>
  <w:defaultTabStop w:val="50"/>
  <w:drawingGridHorizontalSpacing w:val="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TNkZTI5YmM1ZTQzNTBjNDFiMTg0ZmEyMjk0MjYzMmUifQ=="/>
  </w:docVars>
  <w:rsids>
    <w:rsidRoot w:val="007405F0"/>
    <w:rsid w:val="00043FEA"/>
    <w:rsid w:val="0006216E"/>
    <w:rsid w:val="001B060F"/>
    <w:rsid w:val="001D5B86"/>
    <w:rsid w:val="00260726"/>
    <w:rsid w:val="002B1154"/>
    <w:rsid w:val="002B1E4C"/>
    <w:rsid w:val="002E4ACC"/>
    <w:rsid w:val="0030220B"/>
    <w:rsid w:val="0032495E"/>
    <w:rsid w:val="00334400"/>
    <w:rsid w:val="00345497"/>
    <w:rsid w:val="00362EBF"/>
    <w:rsid w:val="003B28B7"/>
    <w:rsid w:val="003E6CC7"/>
    <w:rsid w:val="0042300C"/>
    <w:rsid w:val="0047347E"/>
    <w:rsid w:val="00494B43"/>
    <w:rsid w:val="00546561"/>
    <w:rsid w:val="00557842"/>
    <w:rsid w:val="00570D64"/>
    <w:rsid w:val="005A0676"/>
    <w:rsid w:val="005A459E"/>
    <w:rsid w:val="005E2B5F"/>
    <w:rsid w:val="00615B19"/>
    <w:rsid w:val="006675A9"/>
    <w:rsid w:val="006B060D"/>
    <w:rsid w:val="006C0E3E"/>
    <w:rsid w:val="006D6228"/>
    <w:rsid w:val="007405F0"/>
    <w:rsid w:val="00746B7D"/>
    <w:rsid w:val="00765E62"/>
    <w:rsid w:val="007A1033"/>
    <w:rsid w:val="0084087C"/>
    <w:rsid w:val="008E78A7"/>
    <w:rsid w:val="009002F7"/>
    <w:rsid w:val="0091791F"/>
    <w:rsid w:val="00976CA9"/>
    <w:rsid w:val="00A000B1"/>
    <w:rsid w:val="00A367AF"/>
    <w:rsid w:val="00B03FDA"/>
    <w:rsid w:val="00B24255"/>
    <w:rsid w:val="00B45C54"/>
    <w:rsid w:val="00B55F64"/>
    <w:rsid w:val="00B734BE"/>
    <w:rsid w:val="00B819F6"/>
    <w:rsid w:val="00BB650C"/>
    <w:rsid w:val="00C63A9C"/>
    <w:rsid w:val="00CA73A0"/>
    <w:rsid w:val="00CC6939"/>
    <w:rsid w:val="00CD296A"/>
    <w:rsid w:val="00CD7EB6"/>
    <w:rsid w:val="00D02248"/>
    <w:rsid w:val="00D43F73"/>
    <w:rsid w:val="00DC406A"/>
    <w:rsid w:val="00DF00FE"/>
    <w:rsid w:val="00E84F8B"/>
    <w:rsid w:val="00EE1C21"/>
    <w:rsid w:val="00F604DF"/>
    <w:rsid w:val="00FE342E"/>
    <w:rsid w:val="01501D76"/>
    <w:rsid w:val="02E751B1"/>
    <w:rsid w:val="03406500"/>
    <w:rsid w:val="03B2479A"/>
    <w:rsid w:val="03E62F94"/>
    <w:rsid w:val="04927028"/>
    <w:rsid w:val="05955A20"/>
    <w:rsid w:val="05AC6C4F"/>
    <w:rsid w:val="05D93EDB"/>
    <w:rsid w:val="05DE3AA7"/>
    <w:rsid w:val="06D04598"/>
    <w:rsid w:val="07137246"/>
    <w:rsid w:val="07B17E3D"/>
    <w:rsid w:val="080778A7"/>
    <w:rsid w:val="084A1DD2"/>
    <w:rsid w:val="08E27D6A"/>
    <w:rsid w:val="093023EA"/>
    <w:rsid w:val="09BB007A"/>
    <w:rsid w:val="0A321F79"/>
    <w:rsid w:val="0A6F0A89"/>
    <w:rsid w:val="0A7B623C"/>
    <w:rsid w:val="0AAE64E2"/>
    <w:rsid w:val="0B19620A"/>
    <w:rsid w:val="0B555982"/>
    <w:rsid w:val="0B8003DA"/>
    <w:rsid w:val="0BB674AF"/>
    <w:rsid w:val="0D1B5A71"/>
    <w:rsid w:val="0D771EDD"/>
    <w:rsid w:val="0DAA67E0"/>
    <w:rsid w:val="0E9C399C"/>
    <w:rsid w:val="0EB43ECA"/>
    <w:rsid w:val="0ED77FF7"/>
    <w:rsid w:val="0F5F06D8"/>
    <w:rsid w:val="0FA27514"/>
    <w:rsid w:val="0FA57E31"/>
    <w:rsid w:val="0FE10F4A"/>
    <w:rsid w:val="106C72A8"/>
    <w:rsid w:val="11622737"/>
    <w:rsid w:val="116A3832"/>
    <w:rsid w:val="11765F75"/>
    <w:rsid w:val="144D0D6A"/>
    <w:rsid w:val="14F717C6"/>
    <w:rsid w:val="15390ADE"/>
    <w:rsid w:val="15402D9E"/>
    <w:rsid w:val="154934C9"/>
    <w:rsid w:val="156E27C7"/>
    <w:rsid w:val="16A054C3"/>
    <w:rsid w:val="16F13DFA"/>
    <w:rsid w:val="16FA48B3"/>
    <w:rsid w:val="176D2DE2"/>
    <w:rsid w:val="17C3657D"/>
    <w:rsid w:val="17DD67C8"/>
    <w:rsid w:val="183E62DF"/>
    <w:rsid w:val="185B6189"/>
    <w:rsid w:val="193B73AB"/>
    <w:rsid w:val="19D540CB"/>
    <w:rsid w:val="19FD7F67"/>
    <w:rsid w:val="1A4B04E5"/>
    <w:rsid w:val="1C1F6FB6"/>
    <w:rsid w:val="1C9968F4"/>
    <w:rsid w:val="1CAC0007"/>
    <w:rsid w:val="1CB02E44"/>
    <w:rsid w:val="1CC239AC"/>
    <w:rsid w:val="1D726CE7"/>
    <w:rsid w:val="1DBB4FD6"/>
    <w:rsid w:val="1DDE529B"/>
    <w:rsid w:val="1E050249"/>
    <w:rsid w:val="1EA10561"/>
    <w:rsid w:val="213B27FF"/>
    <w:rsid w:val="21BB7821"/>
    <w:rsid w:val="220D69F4"/>
    <w:rsid w:val="23D46F68"/>
    <w:rsid w:val="24605528"/>
    <w:rsid w:val="24965FC8"/>
    <w:rsid w:val="25CF4CDA"/>
    <w:rsid w:val="25FA2F30"/>
    <w:rsid w:val="26253AEA"/>
    <w:rsid w:val="26CD4921"/>
    <w:rsid w:val="278358C9"/>
    <w:rsid w:val="286306AA"/>
    <w:rsid w:val="2869162A"/>
    <w:rsid w:val="296F1670"/>
    <w:rsid w:val="2A061B5F"/>
    <w:rsid w:val="2A856EF0"/>
    <w:rsid w:val="2C362A4F"/>
    <w:rsid w:val="2C4129D3"/>
    <w:rsid w:val="2C896F9D"/>
    <w:rsid w:val="2D0F6111"/>
    <w:rsid w:val="2ECB6CDF"/>
    <w:rsid w:val="2F822767"/>
    <w:rsid w:val="303E16CD"/>
    <w:rsid w:val="304A5464"/>
    <w:rsid w:val="308A3A5B"/>
    <w:rsid w:val="315849CF"/>
    <w:rsid w:val="31E15558"/>
    <w:rsid w:val="321C56B5"/>
    <w:rsid w:val="32AD1AD9"/>
    <w:rsid w:val="33DE5AF1"/>
    <w:rsid w:val="34AC1FA1"/>
    <w:rsid w:val="34B15F7F"/>
    <w:rsid w:val="366342BF"/>
    <w:rsid w:val="37245796"/>
    <w:rsid w:val="37806448"/>
    <w:rsid w:val="38886DCA"/>
    <w:rsid w:val="39541237"/>
    <w:rsid w:val="3A15504C"/>
    <w:rsid w:val="3A790E32"/>
    <w:rsid w:val="3AD755D0"/>
    <w:rsid w:val="3B0009D7"/>
    <w:rsid w:val="3C7637F7"/>
    <w:rsid w:val="3D3A70F6"/>
    <w:rsid w:val="3E3B66E2"/>
    <w:rsid w:val="3F173C1E"/>
    <w:rsid w:val="3F347D3E"/>
    <w:rsid w:val="40D60A8C"/>
    <w:rsid w:val="40F12D92"/>
    <w:rsid w:val="41024195"/>
    <w:rsid w:val="419D3557"/>
    <w:rsid w:val="42B85731"/>
    <w:rsid w:val="42B95966"/>
    <w:rsid w:val="43035861"/>
    <w:rsid w:val="43570169"/>
    <w:rsid w:val="43D83A6A"/>
    <w:rsid w:val="450A3A5E"/>
    <w:rsid w:val="460005BB"/>
    <w:rsid w:val="47217935"/>
    <w:rsid w:val="472D1DA2"/>
    <w:rsid w:val="477D0FFD"/>
    <w:rsid w:val="478F1F05"/>
    <w:rsid w:val="47937428"/>
    <w:rsid w:val="4800556F"/>
    <w:rsid w:val="48D845AE"/>
    <w:rsid w:val="49C67347"/>
    <w:rsid w:val="4A2B750B"/>
    <w:rsid w:val="4AB06A05"/>
    <w:rsid w:val="4BCC5890"/>
    <w:rsid w:val="4C9519C8"/>
    <w:rsid w:val="4D3D1623"/>
    <w:rsid w:val="4E651D1A"/>
    <w:rsid w:val="4F2B2D6A"/>
    <w:rsid w:val="4F3F1C24"/>
    <w:rsid w:val="4F96663D"/>
    <w:rsid w:val="50B84A4F"/>
    <w:rsid w:val="525C180F"/>
    <w:rsid w:val="529E4A1C"/>
    <w:rsid w:val="52DB12D4"/>
    <w:rsid w:val="534502A4"/>
    <w:rsid w:val="54507403"/>
    <w:rsid w:val="54A45BCE"/>
    <w:rsid w:val="55A1633A"/>
    <w:rsid w:val="55C114F6"/>
    <w:rsid w:val="5614632E"/>
    <w:rsid w:val="57345B4E"/>
    <w:rsid w:val="597E592B"/>
    <w:rsid w:val="5A3F4608"/>
    <w:rsid w:val="5A5566F4"/>
    <w:rsid w:val="5B4E2A95"/>
    <w:rsid w:val="5BCD61DD"/>
    <w:rsid w:val="5D670002"/>
    <w:rsid w:val="5D7F14F2"/>
    <w:rsid w:val="5D846725"/>
    <w:rsid w:val="5DC05EB0"/>
    <w:rsid w:val="5E351DB9"/>
    <w:rsid w:val="5E797281"/>
    <w:rsid w:val="5F1523B9"/>
    <w:rsid w:val="5F9D56AB"/>
    <w:rsid w:val="61104DB0"/>
    <w:rsid w:val="612A5313"/>
    <w:rsid w:val="616001B6"/>
    <w:rsid w:val="63D6320E"/>
    <w:rsid w:val="65125B3C"/>
    <w:rsid w:val="66124841"/>
    <w:rsid w:val="6612673F"/>
    <w:rsid w:val="66CF42EB"/>
    <w:rsid w:val="69343784"/>
    <w:rsid w:val="6B1C4157"/>
    <w:rsid w:val="6BCC59CF"/>
    <w:rsid w:val="6CDF0597"/>
    <w:rsid w:val="70500FE2"/>
    <w:rsid w:val="71646722"/>
    <w:rsid w:val="729057D5"/>
    <w:rsid w:val="72BF1D17"/>
    <w:rsid w:val="733A3E06"/>
    <w:rsid w:val="73851776"/>
    <w:rsid w:val="73E129E9"/>
    <w:rsid w:val="740514E7"/>
    <w:rsid w:val="7598064C"/>
    <w:rsid w:val="75B10841"/>
    <w:rsid w:val="75B41815"/>
    <w:rsid w:val="76572DFC"/>
    <w:rsid w:val="76C164E2"/>
    <w:rsid w:val="77443FA1"/>
    <w:rsid w:val="77DD1D3F"/>
    <w:rsid w:val="781B5C33"/>
    <w:rsid w:val="784261BF"/>
    <w:rsid w:val="7869124F"/>
    <w:rsid w:val="7A747897"/>
    <w:rsid w:val="7ACB41B1"/>
    <w:rsid w:val="7B4A773E"/>
    <w:rsid w:val="7BA63112"/>
    <w:rsid w:val="7E1A53EA"/>
    <w:rsid w:val="7E812BA7"/>
    <w:rsid w:val="7EDB44D5"/>
    <w:rsid w:val="7F245991"/>
    <w:rsid w:val="7F2F2459"/>
    <w:rsid w:val="7F3E32D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iPriority="99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2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6"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7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Chars="0"/>
      <w:jc w:val="both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6"/>
    <w:qFormat/>
    <w:uiPriority w:val="0"/>
    <w:pPr>
      <w:keepNext/>
      <w:keepLines/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5"/>
    <w:qFormat/>
    <w:uiPriority w:val="0"/>
    <w:pPr>
      <w:keepNext/>
      <w:keepLines/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7"/>
    <w:qFormat/>
    <w:uiPriority w:val="0"/>
    <w:p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9"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90"/>
    <w:qFormat/>
    <w:uiPriority w:val="0"/>
    <w:pPr>
      <w:outlineLvl w:val="7"/>
    </w:pPr>
  </w:style>
  <w:style w:type="paragraph" w:styleId="10">
    <w:name w:val="heading 9"/>
    <w:basedOn w:val="9"/>
    <w:next w:val="1"/>
    <w:link w:val="92"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semiHidden/>
    <w:unhideWhenUsed/>
    <w:uiPriority w:val="1"/>
  </w:style>
  <w:style w:type="table" w:default="1" w:styleId="4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8"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100"/>
    <w:qFormat/>
    <w:uiPriority w:val="0"/>
  </w:style>
  <w:style w:type="paragraph" w:styleId="16">
    <w:name w:val="Body Text 3"/>
    <w:basedOn w:val="1"/>
    <w:link w:val="110"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4"/>
    <w:qFormat/>
    <w:uiPriority w:val="0"/>
    <w:pPr>
      <w:spacing w:after="120"/>
    </w:pPr>
  </w:style>
  <w:style w:type="paragraph" w:styleId="18">
    <w:name w:val="Body Text Indent"/>
    <w:basedOn w:val="1"/>
    <w:link w:val="94"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5"/>
    <w:qFormat/>
    <w:uiPriority w:val="0"/>
    <w:rPr>
      <w:rFonts w:ascii="宋体" w:hAnsi="Courier New"/>
    </w:rPr>
  </w:style>
  <w:style w:type="paragraph" w:styleId="22">
    <w:name w:val="toc 8"/>
    <w:basedOn w:val="1"/>
    <w:next w:val="1"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3"/>
    <w:qFormat/>
    <w:uiPriority w:val="0"/>
    <w:pPr>
      <w:ind w:left="100" w:leftChars="2500"/>
    </w:pPr>
  </w:style>
  <w:style w:type="paragraph" w:styleId="24">
    <w:name w:val="Body Text Indent 2"/>
    <w:basedOn w:val="1"/>
    <w:link w:val="91"/>
    <w:autoRedefine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9"/>
    <w:qFormat/>
    <w:uiPriority w:val="0"/>
    <w:rPr>
      <w:sz w:val="18"/>
      <w:szCs w:val="18"/>
    </w:rPr>
  </w:style>
  <w:style w:type="paragraph" w:styleId="26">
    <w:name w:val="footer"/>
    <w:basedOn w:val="1"/>
    <w:link w:val="98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6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qFormat/>
    <w:uiPriority w:val="0"/>
  </w:style>
  <w:style w:type="paragraph" w:styleId="32">
    <w:name w:val="toc 6"/>
    <w:basedOn w:val="1"/>
    <w:next w:val="1"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7"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1"/>
    <w:qFormat/>
    <w:uiPriority w:val="0"/>
    <w:pPr>
      <w:spacing w:after="120" w:line="480" w:lineRule="auto"/>
    </w:pPr>
  </w:style>
  <w:style w:type="paragraph" w:styleId="37">
    <w:name w:val="Normal (Web)"/>
    <w:basedOn w:val="1"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8"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 w:cs="Arial"/>
      <w:b/>
      <w:bCs/>
      <w:sz w:val="32"/>
      <w:szCs w:val="32"/>
    </w:rPr>
  </w:style>
  <w:style w:type="paragraph" w:styleId="39">
    <w:name w:val="annotation subject"/>
    <w:basedOn w:val="15"/>
    <w:next w:val="15"/>
    <w:link w:val="129"/>
    <w:semiHidden/>
    <w:unhideWhenUsed/>
    <w:qFormat/>
    <w:uiPriority w:val="0"/>
    <w:rPr>
      <w:b/>
      <w:bCs/>
    </w:rPr>
  </w:style>
  <w:style w:type="paragraph" w:styleId="40">
    <w:name w:val="Body Text First Indent"/>
    <w:basedOn w:val="17"/>
    <w:link w:val="103"/>
    <w:autoRedefine/>
    <w:qFormat/>
    <w:uiPriority w:val="0"/>
    <w:pPr>
      <w:ind w:firstLine="100" w:firstLineChars="100"/>
    </w:pPr>
  </w:style>
  <w:style w:type="character" w:styleId="43">
    <w:name w:val="Strong"/>
    <w:qFormat/>
    <w:uiPriority w:val="0"/>
    <w:rPr>
      <w:b/>
      <w:bCs/>
    </w:rPr>
  </w:style>
  <w:style w:type="character" w:styleId="44">
    <w:name w:val="page number"/>
    <w:basedOn w:val="42"/>
    <w:qFormat/>
    <w:uiPriority w:val="0"/>
  </w:style>
  <w:style w:type="character" w:styleId="45">
    <w:name w:val="FollowedHyperlink"/>
    <w:qFormat/>
    <w:uiPriority w:val="0"/>
    <w:rPr>
      <w:color w:val="800080"/>
      <w:u w:val="single"/>
    </w:rPr>
  </w:style>
  <w:style w:type="character" w:styleId="46">
    <w:name w:val="Hyperlink"/>
    <w:qFormat/>
    <w:uiPriority w:val="99"/>
    <w:rPr>
      <w:color w:val="0000FF"/>
      <w:u w:val="single"/>
    </w:rPr>
  </w:style>
  <w:style w:type="character" w:styleId="47">
    <w:name w:val="annotation reference"/>
    <w:qFormat/>
    <w:uiPriority w:val="0"/>
    <w:rPr>
      <w:sz w:val="21"/>
      <w:szCs w:val="21"/>
    </w:rPr>
  </w:style>
  <w:style w:type="paragraph" w:customStyle="1" w:styleId="48">
    <w:name w:val="xl29"/>
    <w:basedOn w:val="1"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autoRedefine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autoRedefine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autoRedefine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link w:val="130"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autoRedefine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autoRedefine/>
    <w:qFormat/>
    <w:uiPriority w:val="34"/>
  </w:style>
  <w:style w:type="paragraph" w:customStyle="1" w:styleId="64">
    <w:name w:val="paragraphindent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9"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5"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6"/>
    <w:qFormat/>
    <w:uiPriority w:val="0"/>
    <w:pPr>
      <w:ind w:firstLine="360"/>
    </w:pPr>
  </w:style>
  <w:style w:type="paragraph" w:customStyle="1" w:styleId="70">
    <w:name w:val="样式4"/>
    <w:basedOn w:val="69"/>
    <w:link w:val="117"/>
    <w:autoRedefine/>
    <w:qFormat/>
    <w:uiPriority w:val="0"/>
  </w:style>
  <w:style w:type="paragraph" w:customStyle="1" w:styleId="71">
    <w:name w:val="样式5"/>
    <w:basedOn w:val="27"/>
    <w:link w:val="118"/>
    <w:autoRedefine/>
    <w:qFormat/>
    <w:uiPriority w:val="0"/>
    <w:pPr>
      <w:ind w:firstLine="360"/>
    </w:pPr>
  </w:style>
  <w:style w:type="paragraph" w:customStyle="1" w:styleId="72">
    <w:name w:val="样式6"/>
    <w:basedOn w:val="27"/>
    <w:link w:val="119"/>
    <w:qFormat/>
    <w:uiPriority w:val="0"/>
    <w:pPr>
      <w:ind w:firstLine="360"/>
    </w:pPr>
  </w:style>
  <w:style w:type="paragraph" w:customStyle="1" w:styleId="73">
    <w:name w:val="样式7"/>
    <w:basedOn w:val="4"/>
    <w:link w:val="120"/>
    <w:qFormat/>
    <w:uiPriority w:val="0"/>
  </w:style>
  <w:style w:type="paragraph" w:customStyle="1" w:styleId="74">
    <w:name w:val="样式8"/>
    <w:basedOn w:val="26"/>
    <w:link w:val="121"/>
    <w:autoRedefine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2"/>
    <w:qFormat/>
    <w:uiPriority w:val="0"/>
    <w:pPr>
      <w:jc w:val="center"/>
    </w:pPr>
  </w:style>
  <w:style w:type="paragraph" w:customStyle="1" w:styleId="76">
    <w:name w:val="样式10"/>
    <w:basedOn w:val="75"/>
    <w:link w:val="123"/>
    <w:autoRedefine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4"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5"/>
    <w:qFormat/>
    <w:uiPriority w:val="0"/>
  </w:style>
  <w:style w:type="paragraph" w:customStyle="1" w:styleId="79">
    <w:name w:val="样式13"/>
    <w:basedOn w:val="73"/>
    <w:link w:val="126"/>
    <w:autoRedefine/>
    <w:qFormat/>
    <w:uiPriority w:val="0"/>
  </w:style>
  <w:style w:type="paragraph" w:customStyle="1" w:styleId="80">
    <w:name w:val="2"/>
    <w:basedOn w:val="1"/>
    <w:link w:val="127"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8"/>
    <w:autoRedefine/>
    <w:qFormat/>
    <w:uiPriority w:val="0"/>
    <w:pPr>
      <w:ind w:firstLine="0" w:firstLineChars="0"/>
    </w:pPr>
  </w:style>
  <w:style w:type="paragraph" w:customStyle="1" w:styleId="82">
    <w:name w:val="飞越型"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autoRedefine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84">
    <w:name w:val="列出段落2"/>
    <w:basedOn w:val="1"/>
    <w:autoRedefine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85">
    <w:name w:val="标题 5 Char"/>
    <w:link w:val="6"/>
    <w:autoRedefine/>
    <w:qFormat/>
    <w:uiPriority w:val="0"/>
    <w:rPr>
      <w:b/>
      <w:bCs/>
      <w:kern w:val="2"/>
      <w:sz w:val="28"/>
      <w:szCs w:val="28"/>
    </w:rPr>
  </w:style>
  <w:style w:type="character" w:customStyle="1" w:styleId="86">
    <w:name w:val="页眉 Char"/>
    <w:link w:val="27"/>
    <w:autoRedefine/>
    <w:qFormat/>
    <w:uiPriority w:val="99"/>
    <w:rPr>
      <w:kern w:val="2"/>
      <w:sz w:val="18"/>
      <w:szCs w:val="18"/>
    </w:rPr>
  </w:style>
  <w:style w:type="character" w:customStyle="1" w:styleId="87">
    <w:name w:val="标题 6 Char"/>
    <w:link w:val="7"/>
    <w:qFormat/>
    <w:uiPriority w:val="0"/>
    <w:rPr>
      <w:b/>
      <w:bCs/>
      <w:kern w:val="2"/>
      <w:sz w:val="30"/>
      <w:szCs w:val="18"/>
    </w:rPr>
  </w:style>
  <w:style w:type="character" w:customStyle="1" w:styleId="88">
    <w:name w:val="标题 Char"/>
    <w:link w:val="38"/>
    <w:autoRedefine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9">
    <w:name w:val="标题 7 Char"/>
    <w:link w:val="8"/>
    <w:qFormat/>
    <w:uiPriority w:val="0"/>
    <w:rPr>
      <w:b/>
      <w:bCs/>
      <w:kern w:val="2"/>
      <w:sz w:val="30"/>
      <w:szCs w:val="18"/>
    </w:rPr>
  </w:style>
  <w:style w:type="character" w:customStyle="1" w:styleId="90">
    <w:name w:val="标题 8 Char"/>
    <w:link w:val="9"/>
    <w:qFormat/>
    <w:uiPriority w:val="0"/>
    <w:rPr>
      <w:b/>
      <w:bCs/>
      <w:kern w:val="2"/>
      <w:sz w:val="30"/>
      <w:szCs w:val="18"/>
    </w:rPr>
  </w:style>
  <w:style w:type="character" w:customStyle="1" w:styleId="91">
    <w:name w:val="正文文本缩进 2 Char"/>
    <w:link w:val="24"/>
    <w:qFormat/>
    <w:uiPriority w:val="0"/>
    <w:rPr>
      <w:kern w:val="2"/>
      <w:sz w:val="21"/>
      <w:szCs w:val="24"/>
    </w:rPr>
  </w:style>
  <w:style w:type="character" w:customStyle="1" w:styleId="92">
    <w:name w:val="标题 9 Char"/>
    <w:link w:val="10"/>
    <w:qFormat/>
    <w:uiPriority w:val="0"/>
    <w:rPr>
      <w:b/>
      <w:bCs/>
      <w:kern w:val="2"/>
      <w:sz w:val="30"/>
      <w:szCs w:val="18"/>
    </w:rPr>
  </w:style>
  <w:style w:type="character" w:customStyle="1" w:styleId="93">
    <w:name w:val="large1"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4">
    <w:name w:val="正文文本缩进 Char"/>
    <w:link w:val="18"/>
    <w:qFormat/>
    <w:uiPriority w:val="0"/>
    <w:rPr>
      <w:kern w:val="2"/>
      <w:sz w:val="21"/>
      <w:szCs w:val="24"/>
    </w:rPr>
  </w:style>
  <w:style w:type="character" w:customStyle="1" w:styleId="95">
    <w:name w:val="纯文本 Char"/>
    <w:link w:val="21"/>
    <w:qFormat/>
    <w:uiPriority w:val="0"/>
    <w:rPr>
      <w:rFonts w:ascii="宋体" w:hAnsi="Courier New"/>
      <w:kern w:val="2"/>
      <w:sz w:val="21"/>
    </w:rPr>
  </w:style>
  <w:style w:type="character" w:customStyle="1" w:styleId="96">
    <w:name w:val="标题 2 Char"/>
    <w:link w:val="3"/>
    <w:qFormat/>
    <w:uiPriority w:val="0"/>
    <w:rPr>
      <w:b/>
      <w:bCs/>
      <w:kern w:val="2"/>
      <w:sz w:val="30"/>
      <w:szCs w:val="32"/>
    </w:rPr>
  </w:style>
  <w:style w:type="character" w:customStyle="1" w:styleId="97">
    <w:name w:val="标题 3 Char"/>
    <w:link w:val="4"/>
    <w:qFormat/>
    <w:uiPriority w:val="0"/>
    <w:rPr>
      <w:b/>
      <w:bCs/>
      <w:kern w:val="2"/>
      <w:sz w:val="28"/>
      <w:szCs w:val="18"/>
    </w:rPr>
  </w:style>
  <w:style w:type="character" w:customStyle="1" w:styleId="98">
    <w:name w:val="页脚 Char"/>
    <w:link w:val="26"/>
    <w:qFormat/>
    <w:uiPriority w:val="99"/>
    <w:rPr>
      <w:kern w:val="2"/>
      <w:sz w:val="18"/>
      <w:szCs w:val="18"/>
    </w:rPr>
  </w:style>
  <w:style w:type="character" w:customStyle="1" w:styleId="99">
    <w:name w:val="批注框文本 Char"/>
    <w:link w:val="25"/>
    <w:qFormat/>
    <w:uiPriority w:val="0"/>
    <w:rPr>
      <w:kern w:val="2"/>
      <w:sz w:val="18"/>
      <w:szCs w:val="18"/>
    </w:rPr>
  </w:style>
  <w:style w:type="character" w:customStyle="1" w:styleId="100">
    <w:name w:val="批注文字 Char"/>
    <w:link w:val="15"/>
    <w:qFormat/>
    <w:uiPriority w:val="0"/>
    <w:rPr>
      <w:kern w:val="2"/>
      <w:sz w:val="21"/>
      <w:szCs w:val="24"/>
    </w:rPr>
  </w:style>
  <w:style w:type="character" w:customStyle="1" w:styleId="101">
    <w:name w:val="14_black1"/>
    <w:qFormat/>
    <w:uiPriority w:val="0"/>
    <w:rPr>
      <w:color w:val="000000"/>
      <w:sz w:val="23"/>
      <w:szCs w:val="23"/>
    </w:rPr>
  </w:style>
  <w:style w:type="character" w:customStyle="1" w:styleId="102">
    <w:name w:val="标题 1 Char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3">
    <w:name w:val="正文首行缩进 Char"/>
    <w:link w:val="40"/>
    <w:qFormat/>
    <w:uiPriority w:val="0"/>
    <w:rPr>
      <w:kern w:val="2"/>
      <w:sz w:val="21"/>
      <w:szCs w:val="24"/>
    </w:rPr>
  </w:style>
  <w:style w:type="character" w:customStyle="1" w:styleId="104">
    <w:name w:val="正文文本 Char"/>
    <w:link w:val="17"/>
    <w:qFormat/>
    <w:uiPriority w:val="0"/>
    <w:rPr>
      <w:kern w:val="2"/>
      <w:sz w:val="21"/>
      <w:szCs w:val="24"/>
    </w:rPr>
  </w:style>
  <w:style w:type="character" w:customStyle="1" w:styleId="105">
    <w:name w:val="f141"/>
    <w:qFormat/>
    <w:uiPriority w:val="0"/>
    <w:rPr>
      <w:sz w:val="21"/>
      <w:szCs w:val="21"/>
    </w:rPr>
  </w:style>
  <w:style w:type="character" w:customStyle="1" w:styleId="106">
    <w:name w:val="标题 4 Char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7">
    <w:name w:val="正文文本缩进 3 Char"/>
    <w:link w:val="33"/>
    <w:qFormat/>
    <w:uiPriority w:val="0"/>
    <w:rPr>
      <w:kern w:val="2"/>
      <w:sz w:val="16"/>
      <w:szCs w:val="16"/>
    </w:rPr>
  </w:style>
  <w:style w:type="character" w:customStyle="1" w:styleId="108">
    <w:name w:val="文档结构图 Char"/>
    <w:link w:val="14"/>
    <w:qFormat/>
    <w:uiPriority w:val="0"/>
    <w:rPr>
      <w:rFonts w:ascii="宋体"/>
      <w:kern w:val="2"/>
      <w:sz w:val="18"/>
      <w:szCs w:val="18"/>
    </w:rPr>
  </w:style>
  <w:style w:type="character" w:customStyle="1" w:styleId="109">
    <w:name w:val="FA正文 Char"/>
    <w:link w:val="65"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10">
    <w:name w:val="正文文本 3 Char"/>
    <w:link w:val="16"/>
    <w:qFormat/>
    <w:uiPriority w:val="0"/>
    <w:rPr>
      <w:kern w:val="2"/>
      <w:sz w:val="16"/>
      <w:szCs w:val="16"/>
    </w:rPr>
  </w:style>
  <w:style w:type="character" w:customStyle="1" w:styleId="111">
    <w:name w:val="正文文本 2 Char"/>
    <w:link w:val="36"/>
    <w:qFormat/>
    <w:uiPriority w:val="0"/>
    <w:rPr>
      <w:kern w:val="2"/>
      <w:sz w:val="21"/>
      <w:szCs w:val="24"/>
    </w:rPr>
  </w:style>
  <w:style w:type="character" w:customStyle="1" w:styleId="112">
    <w:name w:val="Indent Normal Char"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3">
    <w:name w:val="日期 Char"/>
    <w:link w:val="23"/>
    <w:qFormat/>
    <w:uiPriority w:val="0"/>
    <w:rPr>
      <w:kern w:val="2"/>
      <w:sz w:val="21"/>
      <w:szCs w:val="24"/>
    </w:rPr>
  </w:style>
  <w:style w:type="character" w:customStyle="1" w:styleId="114">
    <w:name w:val="p11b1"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5">
    <w:name w:val="样式2 Char"/>
    <w:link w:val="68"/>
    <w:qFormat/>
    <w:uiPriority w:val="0"/>
    <w:rPr>
      <w:b/>
      <w:kern w:val="2"/>
      <w:sz w:val="30"/>
      <w:szCs w:val="24"/>
    </w:rPr>
  </w:style>
  <w:style w:type="character" w:customStyle="1" w:styleId="116">
    <w:name w:val="样式3 Char"/>
    <w:link w:val="69"/>
    <w:qFormat/>
    <w:uiPriority w:val="0"/>
    <w:rPr>
      <w:kern w:val="2"/>
      <w:sz w:val="18"/>
      <w:szCs w:val="18"/>
    </w:rPr>
  </w:style>
  <w:style w:type="character" w:customStyle="1" w:styleId="117">
    <w:name w:val="样式4 Char1"/>
    <w:link w:val="70"/>
    <w:qFormat/>
    <w:uiPriority w:val="0"/>
    <w:rPr>
      <w:kern w:val="2"/>
      <w:sz w:val="18"/>
      <w:szCs w:val="18"/>
    </w:rPr>
  </w:style>
  <w:style w:type="character" w:customStyle="1" w:styleId="118">
    <w:name w:val="样式5 Char"/>
    <w:link w:val="71"/>
    <w:qFormat/>
    <w:uiPriority w:val="0"/>
    <w:rPr>
      <w:kern w:val="2"/>
      <w:sz w:val="18"/>
      <w:szCs w:val="18"/>
    </w:rPr>
  </w:style>
  <w:style w:type="character" w:customStyle="1" w:styleId="119">
    <w:name w:val="样式6 Char"/>
    <w:link w:val="72"/>
    <w:qFormat/>
    <w:uiPriority w:val="0"/>
    <w:rPr>
      <w:kern w:val="2"/>
      <w:sz w:val="18"/>
      <w:szCs w:val="18"/>
    </w:rPr>
  </w:style>
  <w:style w:type="character" w:customStyle="1" w:styleId="120">
    <w:name w:val="样式7 Char"/>
    <w:link w:val="73"/>
    <w:qFormat/>
    <w:uiPriority w:val="0"/>
    <w:rPr>
      <w:b/>
      <w:bCs/>
      <w:kern w:val="2"/>
      <w:sz w:val="28"/>
      <w:szCs w:val="18"/>
    </w:rPr>
  </w:style>
  <w:style w:type="character" w:customStyle="1" w:styleId="121">
    <w:name w:val="样式8 Char"/>
    <w:link w:val="74"/>
    <w:qFormat/>
    <w:uiPriority w:val="0"/>
    <w:rPr>
      <w:kern w:val="2"/>
      <w:sz w:val="18"/>
      <w:szCs w:val="18"/>
    </w:rPr>
  </w:style>
  <w:style w:type="character" w:customStyle="1" w:styleId="122">
    <w:name w:val="样式9 Char"/>
    <w:link w:val="75"/>
    <w:qFormat/>
    <w:uiPriority w:val="0"/>
    <w:rPr>
      <w:kern w:val="2"/>
      <w:sz w:val="18"/>
      <w:szCs w:val="18"/>
    </w:rPr>
  </w:style>
  <w:style w:type="character" w:customStyle="1" w:styleId="123">
    <w:name w:val="样式10 Char"/>
    <w:link w:val="76"/>
    <w:qFormat/>
    <w:uiPriority w:val="0"/>
    <w:rPr>
      <w:kern w:val="2"/>
      <w:sz w:val="18"/>
      <w:szCs w:val="18"/>
    </w:rPr>
  </w:style>
  <w:style w:type="character" w:customStyle="1" w:styleId="124">
    <w:name w:val="样式11 Char"/>
    <w:link w:val="77"/>
    <w:qFormat/>
    <w:uiPriority w:val="0"/>
    <w:rPr>
      <w:kern w:val="2"/>
      <w:sz w:val="18"/>
      <w:szCs w:val="18"/>
    </w:rPr>
  </w:style>
  <w:style w:type="character" w:customStyle="1" w:styleId="125">
    <w:name w:val="样式12 Char"/>
    <w:link w:val="78"/>
    <w:qFormat/>
    <w:uiPriority w:val="0"/>
    <w:rPr>
      <w:kern w:val="2"/>
      <w:sz w:val="18"/>
      <w:szCs w:val="18"/>
    </w:rPr>
  </w:style>
  <w:style w:type="character" w:customStyle="1" w:styleId="126">
    <w:name w:val="样式13 Char"/>
    <w:link w:val="79"/>
    <w:qFormat/>
    <w:uiPriority w:val="0"/>
    <w:rPr>
      <w:b/>
      <w:bCs/>
      <w:kern w:val="2"/>
      <w:sz w:val="28"/>
      <w:szCs w:val="18"/>
    </w:rPr>
  </w:style>
  <w:style w:type="character" w:customStyle="1" w:styleId="127">
    <w:name w:val="2 Char"/>
    <w:link w:val="80"/>
    <w:qFormat/>
    <w:uiPriority w:val="0"/>
    <w:rPr>
      <w:spacing w:val="4"/>
      <w:kern w:val="2"/>
      <w:sz w:val="21"/>
      <w:szCs w:val="24"/>
    </w:rPr>
  </w:style>
  <w:style w:type="character" w:customStyle="1" w:styleId="128">
    <w:name w:val="1 Char"/>
    <w:link w:val="81"/>
    <w:qFormat/>
    <w:uiPriority w:val="0"/>
    <w:rPr>
      <w:kern w:val="2"/>
      <w:sz w:val="21"/>
      <w:szCs w:val="24"/>
    </w:rPr>
  </w:style>
  <w:style w:type="character" w:customStyle="1" w:styleId="129">
    <w:name w:val="批注主题 Char"/>
    <w:link w:val="39"/>
    <w:semiHidden/>
    <w:qFormat/>
    <w:uiPriority w:val="0"/>
    <w:rPr>
      <w:b/>
      <w:bCs/>
      <w:kern w:val="2"/>
      <w:sz w:val="21"/>
      <w:szCs w:val="24"/>
    </w:rPr>
  </w:style>
  <w:style w:type="character" w:customStyle="1" w:styleId="130">
    <w:name w:val="样式1 Char"/>
    <w:link w:val="59"/>
    <w:qFormat/>
    <w:uiPriority w:val="0"/>
    <w:rPr>
      <w:kern w:val="2"/>
      <w:sz w:val="24"/>
      <w:szCs w:val="24"/>
    </w:rPr>
  </w:style>
  <w:style w:type="paragraph" w:styleId="131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1" Type="http://schemas.openxmlformats.org/officeDocument/2006/relationships/fontTable" Target="fontTable.xml"/><Relationship Id="rId60" Type="http://schemas.openxmlformats.org/officeDocument/2006/relationships/customXml" Target="../customXml/item2.xml"/><Relationship Id="rId6" Type="http://schemas.openxmlformats.org/officeDocument/2006/relationships/header" Target="header2.xml"/><Relationship Id="rId59" Type="http://schemas.openxmlformats.org/officeDocument/2006/relationships/numbering" Target="numbering.xml"/><Relationship Id="rId58" Type="http://schemas.openxmlformats.org/officeDocument/2006/relationships/customXml" Target="../customXml/item1.xml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jpe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" Type="http://schemas.openxmlformats.org/officeDocument/2006/relationships/image" Target="media/image12.png"/><Relationship Id="rId21" Type="http://schemas.openxmlformats.org/officeDocument/2006/relationships/image" Target="media/image11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7F5429A-1F33-4B3E-A55F-61B435D993D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1</Pages>
  <Words>651</Words>
  <Characters>3714</Characters>
  <Lines>30</Lines>
  <Paragraphs>8</Paragraphs>
  <TotalTime>0</TotalTime>
  <ScaleCrop>false</ScaleCrop>
  <LinksUpToDate>false</LinksUpToDate>
  <CharactersWithSpaces>4357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2023-01-18T09:39:00Z</dcterms:created>
  <dc:creator>yuanxun</dc:creator>
  <cp:lastModifiedBy>agaric</cp:lastModifiedBy>
  <dcterms:modified xsi:type="dcterms:W3CDTF">2024-05-10T02:46:42Z</dcterms:modified>
  <dc:title>_x0001_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415DEC8FB09D4DB880ED1DB497C8B1AC_13</vt:lpwstr>
  </property>
</Properties>
</file>