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1"/>
        <w:rPr>
          <w:b/>
          <w:spacing w:val="-70"/>
          <w:sz w:val="72"/>
          <w:szCs w:val="72"/>
        </w:rPr>
      </w:pPr>
      <w:r>
        <w:drawing>
          <wp:inline distT="0" distB="0" distL="0" distR="0">
            <wp:extent cx="5248910" cy="1199515"/>
            <wp:effectExtent l="19050" t="0" r="8890" b="0"/>
            <wp:docPr id="1" name="图片 0" descr="公司LOGO2018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公司LOGO2018版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119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</w:rPr>
        <w:t>江苏国泰新点软件有限公司</w:t>
      </w:r>
    </w:p>
    <w:p>
      <w:pPr>
        <w:jc w:val="center"/>
        <w:rPr>
          <w:rFonts w:ascii="Arial" w:hAnsi="Arial" w:cs="Arial"/>
          <w:b/>
          <w:color w:val="0000FF"/>
          <w:szCs w:val="21"/>
        </w:rPr>
      </w:pPr>
      <w:r>
        <w:rPr>
          <w:rFonts w:hint="eastAsia" w:ascii="宋体" w:hAnsi="宋体"/>
          <w:szCs w:val="21"/>
        </w:rPr>
        <w:t>地址：江苏张家港市经济开发区</w:t>
      </w:r>
      <w:r>
        <w:rPr>
          <w:rFonts w:ascii="Arial" w:hAnsi="Arial" w:cs="Arial"/>
          <w:b/>
          <w:color w:val="0000FF"/>
          <w:szCs w:val="21"/>
        </w:rPr>
        <w:t>(http://www.epint.</w:t>
      </w:r>
      <w:r>
        <w:rPr>
          <w:rFonts w:hint="eastAsia" w:ascii="Arial" w:hAnsi="Arial" w:cs="Arial"/>
          <w:b/>
          <w:color w:val="0000FF"/>
          <w:szCs w:val="21"/>
        </w:rPr>
        <w:t>com.cn</w:t>
      </w:r>
      <w:r>
        <w:rPr>
          <w:rFonts w:ascii="Arial" w:hAnsi="Arial" w:cs="Arial"/>
          <w:b/>
          <w:color w:val="0000FF"/>
          <w:szCs w:val="21"/>
        </w:rPr>
        <w:t>)</w:t>
      </w:r>
    </w:p>
    <w:p>
      <w:pPr>
        <w:jc w:val="center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电话：</w:t>
      </w:r>
      <w:r>
        <w:rPr>
          <w:rFonts w:hint="eastAsia"/>
          <w:szCs w:val="21"/>
        </w:rPr>
        <w:t>4009980000</w:t>
      </w:r>
    </w:p>
    <w:p>
      <w:pPr>
        <w:pStyle w:val="81"/>
        <w:rPr>
          <w:b/>
          <w:spacing w:val="-70"/>
          <w:sz w:val="72"/>
          <w:szCs w:val="72"/>
        </w:rPr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  <w:lang w:val="en-US" w:eastAsia="zh-CN"/>
        </w:rPr>
        <w:t>滁州市公共资源交易不见面开标系统</w:t>
      </w:r>
      <w:r>
        <w:rPr>
          <w:b/>
          <w:sz w:val="52"/>
          <w:szCs w:val="52"/>
        </w:rPr>
        <w:t>-</w:t>
      </w:r>
      <w:r>
        <w:rPr>
          <w:rFonts w:hint="eastAsia"/>
          <w:b/>
          <w:sz w:val="52"/>
          <w:szCs w:val="52"/>
        </w:rPr>
        <w:t>主持</w:t>
      </w:r>
      <w:r>
        <w:rPr>
          <w:b/>
          <w:sz w:val="52"/>
          <w:szCs w:val="52"/>
        </w:rPr>
        <w:t>人</w:t>
      </w:r>
    </w:p>
    <w:p>
      <w:pPr>
        <w:ind w:firstLine="0" w:firstLineChars="0"/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操作手册</w:t>
      </w: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0" w:firstLineChars="0"/>
      </w:pPr>
    </w:p>
    <w:p>
      <w:pPr>
        <w:spacing w:line="240" w:lineRule="auto"/>
        <w:ind w:firstLine="0" w:firstLineChars="0"/>
        <w:jc w:val="center"/>
        <w:rPr>
          <w:b/>
          <w:spacing w:val="200"/>
          <w:sz w:val="32"/>
        </w:rPr>
      </w:pPr>
      <w:r>
        <w:rPr>
          <w:b/>
          <w:spacing w:val="200"/>
          <w:sz w:val="32"/>
        </w:rPr>
        <w:t>目录</w:t>
      </w:r>
    </w:p>
    <w:p>
      <w:pPr>
        <w:pStyle w:val="28"/>
        <w:tabs>
          <w:tab w:val="right" w:leader="dot" w:pos="8266"/>
        </w:tabs>
      </w:pP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TOC \o "4-5" \h \z \t "标题 1,1,标题 2,2,标题 3,3"</w:instrText>
      </w:r>
      <w:r>
        <w:rPr>
          <w:rFonts w:cs="Times New Roman"/>
        </w:rPr>
        <w:fldChar w:fldCharType="separate"/>
      </w: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HYPERLINK \l _Toc14316 </w:instrText>
      </w:r>
      <w:r>
        <w:rPr>
          <w:rFonts w:cs="Times New Roman"/>
        </w:rPr>
        <w:fldChar w:fldCharType="separate"/>
      </w:r>
      <w:r>
        <w:rPr>
          <w:rFonts w:hint="eastAsia"/>
          <w:lang w:val="en-US"/>
        </w:rPr>
        <w:t xml:space="preserve">一、 </w:t>
      </w:r>
      <w:r>
        <w:t>系统前期准备</w:t>
      </w:r>
      <w:r>
        <w:tab/>
      </w:r>
      <w:r>
        <w:fldChar w:fldCharType="begin"/>
      </w:r>
      <w:r>
        <w:instrText xml:space="preserve"> PAGEREF _Toc14316 \h </w:instrText>
      </w:r>
      <w:r>
        <w:fldChar w:fldCharType="separate"/>
      </w:r>
      <w:r>
        <w:t>2</w:t>
      </w:r>
      <w:r>
        <w:fldChar w:fldCharType="end"/>
      </w:r>
      <w:r>
        <w:rPr>
          <w:rFonts w:cs="Times New Roman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_Toc19819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1.1、 </w:t>
      </w:r>
      <w:r>
        <w:t>驱动安装说明</w:t>
      </w:r>
      <w:r>
        <w:tab/>
      </w:r>
      <w:r>
        <w:fldChar w:fldCharType="begin"/>
      </w:r>
      <w:r>
        <w:instrText xml:space="preserve"> PAGEREF _Toc19819 \h </w:instrText>
      </w:r>
      <w:r>
        <w:fldChar w:fldCharType="separate"/>
      </w:r>
      <w:r>
        <w:t>2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_Toc12520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1.1.1、 </w:t>
      </w:r>
      <w:r>
        <w:t>安装驱动程序</w:t>
      </w:r>
      <w:r>
        <w:tab/>
      </w:r>
      <w:r>
        <w:fldChar w:fldCharType="begin"/>
      </w:r>
      <w:r>
        <w:instrText xml:space="preserve"> PAGEREF _Toc12520 \h </w:instrText>
      </w:r>
      <w:r>
        <w:fldChar w:fldCharType="separate"/>
      </w:r>
      <w:r>
        <w:t>2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_Toc24051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1.2、 </w:t>
      </w:r>
      <w:r>
        <w:t>检测工具</w:t>
      </w:r>
      <w:r>
        <w:tab/>
      </w:r>
      <w:r>
        <w:fldChar w:fldCharType="begin"/>
      </w:r>
      <w:r>
        <w:instrText xml:space="preserve"> PAGEREF _Toc24051 \h </w:instrText>
      </w:r>
      <w:r>
        <w:fldChar w:fldCharType="separate"/>
      </w:r>
      <w:r>
        <w:t>5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_Toc17916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1.2.1、 </w:t>
      </w:r>
      <w:r>
        <w:t>启动检测工具</w:t>
      </w:r>
      <w:r>
        <w:tab/>
      </w:r>
      <w:r>
        <w:fldChar w:fldCharType="begin"/>
      </w:r>
      <w:r>
        <w:instrText xml:space="preserve"> PAGEREF _Toc17916 \h </w:instrText>
      </w:r>
      <w:r>
        <w:fldChar w:fldCharType="separate"/>
      </w:r>
      <w:r>
        <w:t>5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_Toc8017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1.2.2、 </w:t>
      </w:r>
      <w:r>
        <w:rPr>
          <w:rFonts w:hint="eastAsia"/>
          <w:lang w:val="en-US" w:eastAsia="zh-CN"/>
        </w:rPr>
        <w:t>一键</w:t>
      </w:r>
      <w:r>
        <w:t>检测</w:t>
      </w:r>
      <w:r>
        <w:tab/>
      </w:r>
      <w:r>
        <w:fldChar w:fldCharType="begin"/>
      </w:r>
      <w:r>
        <w:instrText xml:space="preserve"> PAGEREF _Toc8017 \h </w:instrText>
      </w:r>
      <w:r>
        <w:fldChar w:fldCharType="separate"/>
      </w:r>
      <w:r>
        <w:t>5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_Toc564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1.3、 </w:t>
      </w:r>
      <w:r>
        <w:t>浏览器配置</w:t>
      </w:r>
      <w:r>
        <w:tab/>
      </w:r>
      <w:r>
        <w:fldChar w:fldCharType="begin"/>
      </w:r>
      <w:r>
        <w:instrText xml:space="preserve"> PAGEREF _Toc564 \h </w:instrText>
      </w:r>
      <w:r>
        <w:fldChar w:fldCharType="separate"/>
      </w:r>
      <w:r>
        <w:t>6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_Toc25426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1.3.1、 </w:t>
      </w:r>
      <w:r>
        <w:t>Internet选项</w:t>
      </w:r>
      <w:r>
        <w:tab/>
      </w:r>
      <w:r>
        <w:fldChar w:fldCharType="begin"/>
      </w:r>
      <w:r>
        <w:instrText xml:space="preserve"> PAGEREF _Toc25426 \h </w:instrText>
      </w:r>
      <w:r>
        <w:fldChar w:fldCharType="separate"/>
      </w:r>
      <w:r>
        <w:t>6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_Toc24402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1.3.2、 </w:t>
      </w:r>
      <w:r>
        <w:t>关闭拦截工具</w:t>
      </w:r>
      <w:r>
        <w:tab/>
      </w:r>
      <w:r>
        <w:fldChar w:fldCharType="begin"/>
      </w:r>
      <w:r>
        <w:instrText xml:space="preserve"> PAGEREF _Toc24402 \h </w:instrText>
      </w:r>
      <w:r>
        <w:fldChar w:fldCharType="separate"/>
      </w:r>
      <w:r>
        <w:t>10</w:t>
      </w:r>
      <w:r>
        <w:fldChar w:fldCharType="end"/>
      </w:r>
      <w:r>
        <w:rPr>
          <w:szCs w:val="20"/>
        </w:rPr>
        <w:fldChar w:fldCharType="end"/>
      </w:r>
    </w:p>
    <w:p>
      <w:pPr>
        <w:pStyle w:val="28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_Toc5943 </w:instrText>
      </w:r>
      <w:r>
        <w:rPr>
          <w:szCs w:val="20"/>
        </w:rPr>
        <w:fldChar w:fldCharType="separate"/>
      </w:r>
      <w:r>
        <w:rPr>
          <w:rFonts w:hint="eastAsia"/>
          <w:lang w:val="en-US"/>
        </w:rPr>
        <w:t xml:space="preserve">二、 </w:t>
      </w:r>
      <w:r>
        <w:rPr>
          <w:rFonts w:hint="eastAsia"/>
        </w:rPr>
        <w:t>不见面开标大厅</w:t>
      </w:r>
      <w:r>
        <w:tab/>
      </w:r>
      <w:r>
        <w:fldChar w:fldCharType="begin"/>
      </w:r>
      <w:r>
        <w:instrText xml:space="preserve"> PAGEREF _Toc5943 \h </w:instrText>
      </w:r>
      <w:r>
        <w:fldChar w:fldCharType="separate"/>
      </w:r>
      <w:r>
        <w:t>10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_Toc3598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2.1、 </w:t>
      </w:r>
      <w:r>
        <w:rPr>
          <w:rFonts w:hint="eastAsia"/>
          <w:lang w:val="en-US" w:eastAsia="zh-CN"/>
        </w:rPr>
        <w:t>不见面开标项目的选择</w:t>
      </w:r>
      <w:r>
        <w:tab/>
      </w:r>
      <w:r>
        <w:fldChar w:fldCharType="begin"/>
      </w:r>
      <w:r>
        <w:instrText xml:space="preserve"> PAGEREF _Toc3598 \h </w:instrText>
      </w:r>
      <w:r>
        <w:fldChar w:fldCharType="separate"/>
      </w:r>
      <w:r>
        <w:t>10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_Toc10081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2.2、 </w:t>
      </w:r>
      <w:r>
        <w:rPr>
          <w:rFonts w:hint="eastAsia"/>
        </w:rPr>
        <w:t>登录</w:t>
      </w:r>
      <w:r>
        <w:tab/>
      </w:r>
      <w:r>
        <w:fldChar w:fldCharType="begin"/>
      </w:r>
      <w:r>
        <w:instrText xml:space="preserve"> PAGEREF _Toc10081 \h </w:instrText>
      </w:r>
      <w:r>
        <w:fldChar w:fldCharType="separate"/>
      </w:r>
      <w:r>
        <w:t>11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_Toc5517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2.3、 </w:t>
      </w:r>
      <w:r>
        <w:rPr>
          <w:rFonts w:hint="eastAsia"/>
        </w:rPr>
        <w:t>项目列表页面</w:t>
      </w:r>
      <w:r>
        <w:tab/>
      </w:r>
      <w:r>
        <w:fldChar w:fldCharType="begin"/>
      </w:r>
      <w:r>
        <w:instrText xml:space="preserve"> PAGEREF _Toc5517 \h </w:instrText>
      </w:r>
      <w:r>
        <w:fldChar w:fldCharType="separate"/>
      </w:r>
      <w:r>
        <w:t>12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_Toc16780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2.4、 </w:t>
      </w:r>
      <w:r>
        <w:rPr>
          <w:rFonts w:hint="eastAsia"/>
        </w:rPr>
        <w:t>进入开标大厅</w:t>
      </w:r>
      <w:r>
        <w:tab/>
      </w:r>
      <w:r>
        <w:fldChar w:fldCharType="begin"/>
      </w:r>
      <w:r>
        <w:instrText xml:space="preserve"> PAGEREF _Toc16780 \h </w:instrText>
      </w:r>
      <w:r>
        <w:fldChar w:fldCharType="separate"/>
      </w:r>
      <w:r>
        <w:t>12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_Toc11063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2.5、 </w:t>
      </w:r>
      <w:r>
        <w:rPr>
          <w:rFonts w:hint="eastAsia"/>
        </w:rPr>
        <w:t>等待开标</w:t>
      </w:r>
      <w:r>
        <w:tab/>
      </w:r>
      <w:r>
        <w:fldChar w:fldCharType="begin"/>
      </w:r>
      <w:r>
        <w:instrText xml:space="preserve"> PAGEREF _Toc11063 \h </w:instrText>
      </w:r>
      <w:r>
        <w:fldChar w:fldCharType="separate"/>
      </w:r>
      <w:r>
        <w:t>17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_Toc29102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2.6、 </w:t>
      </w:r>
      <w:r>
        <w:rPr>
          <w:rFonts w:hint="eastAsia"/>
        </w:rPr>
        <w:t>公布投标人</w:t>
      </w:r>
      <w:r>
        <w:tab/>
      </w:r>
      <w:r>
        <w:fldChar w:fldCharType="begin"/>
      </w:r>
      <w:r>
        <w:instrText xml:space="preserve"> PAGEREF _Toc29102 \h </w:instrText>
      </w:r>
      <w:r>
        <w:fldChar w:fldCharType="separate"/>
      </w:r>
      <w:r>
        <w:t>18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_Toc28309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2.7、 </w:t>
      </w:r>
      <w:r>
        <w:rPr>
          <w:rFonts w:hint="eastAsia"/>
        </w:rPr>
        <w:t>查看投标人名单</w:t>
      </w:r>
      <w:r>
        <w:tab/>
      </w:r>
      <w:r>
        <w:fldChar w:fldCharType="begin"/>
      </w:r>
      <w:r>
        <w:instrText xml:space="preserve"> PAGEREF _Toc28309 \h </w:instrText>
      </w:r>
      <w:r>
        <w:fldChar w:fldCharType="separate"/>
      </w:r>
      <w:r>
        <w:t>20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_Toc14062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2.8、 </w:t>
      </w:r>
      <w:r>
        <w:rPr>
          <w:rFonts w:hint="eastAsia"/>
        </w:rPr>
        <w:t>投标人解密</w:t>
      </w:r>
      <w:r>
        <w:tab/>
      </w:r>
      <w:r>
        <w:fldChar w:fldCharType="begin"/>
      </w:r>
      <w:r>
        <w:instrText xml:space="preserve"> PAGEREF _Toc14062 \h </w:instrText>
      </w:r>
      <w:r>
        <w:fldChar w:fldCharType="separate"/>
      </w:r>
      <w:r>
        <w:t>22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_Toc20711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2.9、 </w:t>
      </w:r>
      <w:r>
        <w:rPr>
          <w:rFonts w:hint="eastAsia"/>
        </w:rPr>
        <w:t>招标人解密</w:t>
      </w:r>
      <w:r>
        <w:tab/>
      </w:r>
      <w:r>
        <w:fldChar w:fldCharType="begin"/>
      </w:r>
      <w:r>
        <w:instrText xml:space="preserve"> PAGEREF _Toc20711 \h </w:instrText>
      </w:r>
      <w:r>
        <w:fldChar w:fldCharType="separate"/>
      </w:r>
      <w:r>
        <w:t>24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_Toc22877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2.10、 </w:t>
      </w:r>
      <w:r>
        <w:rPr>
          <w:rFonts w:hint="eastAsia"/>
        </w:rPr>
        <w:t>批量导入</w:t>
      </w:r>
      <w:r>
        <w:tab/>
      </w:r>
      <w:r>
        <w:fldChar w:fldCharType="begin"/>
      </w:r>
      <w:r>
        <w:instrText xml:space="preserve"> PAGEREF _Toc22877 \h </w:instrText>
      </w:r>
      <w:r>
        <w:fldChar w:fldCharType="separate"/>
      </w:r>
      <w:r>
        <w:t>26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_Toc28297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2.11、 </w:t>
      </w:r>
      <w:r>
        <w:rPr>
          <w:rFonts w:hint="eastAsia"/>
        </w:rPr>
        <w:t>唱标</w:t>
      </w:r>
      <w:r>
        <w:tab/>
      </w:r>
      <w:r>
        <w:fldChar w:fldCharType="begin"/>
      </w:r>
      <w:r>
        <w:instrText xml:space="preserve"> PAGEREF _Toc28297 \h </w:instrText>
      </w:r>
      <w:r>
        <w:fldChar w:fldCharType="separate"/>
      </w:r>
      <w:r>
        <w:t>27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_Toc20043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2.12、 </w:t>
      </w:r>
      <w:r>
        <w:rPr>
          <w:rFonts w:hint="eastAsia"/>
          <w:lang w:val="en-US" w:eastAsia="zh-CN"/>
        </w:rPr>
        <w:t>开标结束</w:t>
      </w:r>
      <w:r>
        <w:tab/>
      </w:r>
      <w:r>
        <w:fldChar w:fldCharType="begin"/>
      </w:r>
      <w:r>
        <w:instrText xml:space="preserve"> PAGEREF _Toc20043 \h </w:instrText>
      </w:r>
      <w:r>
        <w:fldChar w:fldCharType="separate"/>
      </w:r>
      <w:r>
        <w:t>28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_Toc4196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2.13、 </w:t>
      </w:r>
      <w:r>
        <w:rPr>
          <w:rFonts w:hint="eastAsia"/>
        </w:rPr>
        <w:t>系数</w:t>
      </w:r>
      <w:r>
        <w:rPr>
          <w:rFonts w:hint="eastAsia"/>
          <w:lang w:val="en-US" w:eastAsia="zh-CN"/>
        </w:rPr>
        <w:t>录入（含系数抽取的项目）</w:t>
      </w:r>
      <w:r>
        <w:tab/>
      </w:r>
      <w:r>
        <w:fldChar w:fldCharType="begin"/>
      </w:r>
      <w:r>
        <w:instrText xml:space="preserve"> PAGEREF _Toc4196 \h </w:instrText>
      </w:r>
      <w:r>
        <w:fldChar w:fldCharType="separate"/>
      </w:r>
      <w:r>
        <w:t>29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_Toc10351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2.14、 </w:t>
      </w:r>
      <w:r>
        <w:rPr>
          <w:rFonts w:hint="eastAsia"/>
        </w:rPr>
        <w:t>异议</w:t>
      </w:r>
      <w:r>
        <w:tab/>
      </w:r>
      <w:r>
        <w:fldChar w:fldCharType="begin"/>
      </w:r>
      <w:r>
        <w:instrText xml:space="preserve"> PAGEREF _Toc10351 \h </w:instrText>
      </w:r>
      <w:r>
        <w:fldChar w:fldCharType="separate"/>
      </w:r>
      <w:r>
        <w:t>31</w:t>
      </w:r>
      <w:r>
        <w:fldChar w:fldCharType="end"/>
      </w:r>
      <w:r>
        <w:rPr>
          <w:szCs w:val="20"/>
        </w:rPr>
        <w:fldChar w:fldCharType="end"/>
      </w:r>
    </w:p>
    <w:p>
      <w:pPr>
        <w:pStyle w:val="57"/>
        <w:spacing w:line="240" w:lineRule="auto"/>
        <w:ind w:firstLine="360"/>
      </w:pPr>
      <w:r>
        <w:rPr>
          <w:szCs w:val="20"/>
        </w:rPr>
        <w:fldChar w:fldCharType="end"/>
      </w: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0" w:firstLineChars="0"/>
      </w:pPr>
    </w:p>
    <w:p>
      <w:pPr>
        <w:pStyle w:val="2"/>
      </w:pPr>
      <w:bookmarkStart w:id="0" w:name="_Toc404764406"/>
      <w:bookmarkStart w:id="1" w:name="_Toc404243487"/>
      <w:bookmarkStart w:id="2" w:name="_Toc346183627"/>
      <w:bookmarkStart w:id="3" w:name="_Toc346701609"/>
      <w:bookmarkStart w:id="4" w:name="_Toc404765182"/>
      <w:bookmarkStart w:id="5" w:name="_Toc14316"/>
      <w:r>
        <w:t>系统前期准备</w:t>
      </w:r>
      <w:bookmarkEnd w:id="0"/>
      <w:bookmarkEnd w:id="1"/>
      <w:bookmarkEnd w:id="2"/>
      <w:bookmarkEnd w:id="3"/>
      <w:bookmarkEnd w:id="4"/>
      <w:bookmarkEnd w:id="5"/>
    </w:p>
    <w:p>
      <w:pPr>
        <w:numPr>
          <w:ilvl w:val="0"/>
          <w:numId w:val="2"/>
        </w:numPr>
        <w:autoSpaceDE w:val="0"/>
        <w:autoSpaceDN w:val="0"/>
        <w:adjustRightInd w:val="0"/>
        <w:spacing w:line="300" w:lineRule="auto"/>
        <w:rPr>
          <w:rFonts w:hint="eastAsia"/>
        </w:rPr>
      </w:pPr>
      <w:r>
        <w:rPr>
          <w:rFonts w:hint="eastAsia"/>
        </w:rPr>
        <w:t>操作系统要求：Windows7/10下均可运行，建议使用Win</w:t>
      </w:r>
      <w:r>
        <w:rPr>
          <w:rFonts w:hint="eastAsia"/>
          <w:lang w:val="en-US" w:eastAsia="zh-CN"/>
        </w:rPr>
        <w:t>10以上</w:t>
      </w:r>
      <w:r>
        <w:rPr>
          <w:rFonts w:hint="eastAsia"/>
        </w:rPr>
        <w:t>版本。</w:t>
      </w:r>
    </w:p>
    <w:p>
      <w:pPr>
        <w:numPr>
          <w:ilvl w:val="0"/>
          <w:numId w:val="2"/>
        </w:numPr>
        <w:autoSpaceDE w:val="0"/>
        <w:autoSpaceDN w:val="0"/>
        <w:adjustRightInd w:val="0"/>
        <w:spacing w:line="300" w:lineRule="auto"/>
      </w:pPr>
      <w:r>
        <w:rPr>
          <w:rFonts w:hint="eastAsia"/>
        </w:rPr>
        <w:t>浏览器要求：建议使用IE浏览器，ie11及以上。</w:t>
      </w:r>
    </w:p>
    <w:p>
      <w:pPr>
        <w:numPr>
          <w:ilvl w:val="0"/>
          <w:numId w:val="2"/>
        </w:numPr>
        <w:autoSpaceDE w:val="0"/>
        <w:autoSpaceDN w:val="0"/>
        <w:adjustRightInd w:val="0"/>
        <w:spacing w:line="300" w:lineRule="auto"/>
        <w:ind w:left="0" w:leftChars="0" w:firstLine="420" w:firstLineChars="200"/>
        <w:rPr>
          <w:rFonts w:hint="eastAsia"/>
        </w:rPr>
      </w:pPr>
      <w:r>
        <w:rPr>
          <w:rFonts w:hint="eastAsia"/>
        </w:rPr>
        <w:t>直播硬件及带宽要求: 能正常使用的麦克风及音响，20M以上三网宽带网络。</w:t>
      </w:r>
    </w:p>
    <w:p>
      <w:pPr>
        <w:widowControl w:val="0"/>
        <w:numPr>
          <w:ilvl w:val="0"/>
          <w:numId w:val="0"/>
        </w:numPr>
        <w:autoSpaceDE w:val="0"/>
        <w:autoSpaceDN w:val="0"/>
        <w:adjustRightInd w:val="0"/>
        <w:spacing w:line="300" w:lineRule="auto"/>
        <w:rPr>
          <w:rFonts w:hint="eastAsia"/>
        </w:rPr>
      </w:pPr>
    </w:p>
    <w:p>
      <w:pPr>
        <w:pStyle w:val="3"/>
      </w:pPr>
      <w:bookmarkStart w:id="6" w:name="_Toc28668"/>
      <w:bookmarkStart w:id="7" w:name="_Toc346701610"/>
      <w:bookmarkStart w:id="8" w:name="_Toc404243488"/>
      <w:bookmarkStart w:id="9" w:name="_Toc346183628"/>
      <w:bookmarkStart w:id="10" w:name="_Toc404765183"/>
      <w:bookmarkStart w:id="11" w:name="_Toc404764407"/>
      <w:bookmarkStart w:id="12" w:name="_Toc19819"/>
      <w:r>
        <w:t>驱动安装说明</w:t>
      </w:r>
      <w:bookmarkEnd w:id="6"/>
      <w:bookmarkEnd w:id="7"/>
      <w:bookmarkEnd w:id="8"/>
      <w:bookmarkEnd w:id="9"/>
      <w:bookmarkEnd w:id="10"/>
      <w:bookmarkEnd w:id="11"/>
      <w:bookmarkEnd w:id="12"/>
    </w:p>
    <w:p>
      <w:pPr>
        <w:pStyle w:val="4"/>
      </w:pPr>
      <w:bookmarkStart w:id="13" w:name="_Toc346701611"/>
      <w:bookmarkStart w:id="14" w:name="_Toc404765184"/>
      <w:bookmarkStart w:id="15" w:name="_Toc346183629"/>
      <w:bookmarkStart w:id="16" w:name="_Toc4208"/>
      <w:bookmarkStart w:id="17" w:name="_Toc404764408"/>
      <w:bookmarkStart w:id="18" w:name="_Toc404243489"/>
      <w:bookmarkStart w:id="19" w:name="_Toc12520"/>
      <w:r>
        <w:t>安装驱动程序</w:t>
      </w:r>
      <w:bookmarkEnd w:id="13"/>
      <w:bookmarkEnd w:id="14"/>
      <w:bookmarkEnd w:id="15"/>
      <w:bookmarkEnd w:id="16"/>
      <w:bookmarkEnd w:id="17"/>
      <w:bookmarkEnd w:id="18"/>
      <w:bookmarkEnd w:id="19"/>
    </w:p>
    <w:p>
      <w:r>
        <w:t>1、</w:t>
      </w:r>
      <w:r>
        <w:rPr>
          <w:rFonts w:hint="eastAsia"/>
        </w:rPr>
        <w:t>IE11浏览器中打开</w:t>
      </w:r>
      <w:r>
        <w:rPr>
          <w:rFonts w:hint="eastAsia" w:ascii="宋体" w:hAnsi="宋体" w:eastAsia="宋体" w:cs="宋体"/>
          <w:sz w:val="24"/>
          <w:szCs w:val="24"/>
        </w:rPr>
        <w:t>https://download.bqpoint.com/?SourceFrom=Ztb&amp;ZtbSoftXiaQuCode=1203&amp;ZtbSoftType=DR&amp;SoftGuid=179c1716-0913-4138-b4d8-adc0f3692f8d&amp;RootGuid=fd78aba1-b9ad-4a73-91bf-61e65906e7e7&amp;softtypecode=06</w:t>
      </w:r>
      <w:r>
        <w:rPr>
          <w:rFonts w:hint="eastAsia" w:ascii="宋体" w:hAnsi="宋体" w:cs="宋体"/>
          <w:sz w:val="24"/>
          <w:szCs w:val="24"/>
          <w:lang w:eastAsia="zh-CN"/>
        </w:rPr>
        <w:t>，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下载CA驱动。</w:t>
      </w:r>
    </w:p>
    <w:p>
      <w:pPr>
        <w:autoSpaceDE w:val="0"/>
        <w:autoSpaceDN w:val="0"/>
        <w:adjustRightInd w:val="0"/>
        <w:ind w:left="0" w:leftChars="0" w:right="-20" w:firstLine="0" w:firstLineChars="0"/>
        <w:jc w:val="both"/>
        <w:rPr>
          <w:spacing w:val="4"/>
        </w:rPr>
      </w:pPr>
      <w:r>
        <w:drawing>
          <wp:inline distT="0" distB="0" distL="114300" distR="114300">
            <wp:extent cx="5245735" cy="3338830"/>
            <wp:effectExtent l="0" t="0" r="12065" b="13970"/>
            <wp:docPr id="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右击以管理员身份运行</w:t>
      </w:r>
      <w:r>
        <w:drawing>
          <wp:inline distT="0" distB="0" distL="114300" distR="114300">
            <wp:extent cx="876300" cy="1000125"/>
            <wp:effectExtent l="0" t="0" r="0" b="9525"/>
            <wp:docPr id="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可自行选择按照路径，选择之后点击“快速安装”，如下图</w:t>
      </w:r>
      <w:r>
        <w:rPr>
          <w:rFonts w:hint="eastAsia"/>
          <w:lang w:eastAsia="zh-CN"/>
        </w:rPr>
        <w:t>：</w:t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46370" cy="3935095"/>
            <wp:effectExtent l="0" t="0" r="11430" b="8255"/>
            <wp:docPr id="6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</w:pPr>
      <w:r>
        <w:t>3、</w:t>
      </w:r>
      <w:r>
        <w:rPr>
          <w:rFonts w:hint="eastAsia"/>
          <w:lang w:val="en-US" w:eastAsia="zh-CN"/>
        </w:rPr>
        <w:t>安装的时候，如果IE程序正在运行，关闭IE</w:t>
      </w:r>
      <w:r>
        <w:t>，</w:t>
      </w:r>
      <w:r>
        <w:rPr>
          <w:rFonts w:hint="eastAsia"/>
          <w:lang w:val="en-US" w:eastAsia="zh-CN"/>
        </w:rPr>
        <w:t>关闭IE之后，将继续安装，</w:t>
      </w:r>
      <w:r>
        <w:t>如下图：</w:t>
      </w:r>
    </w:p>
    <w:p>
      <w:pPr>
        <w:ind w:left="0" w:leftChars="0" w:firstLine="0" w:firstLineChars="0"/>
        <w:jc w:val="both"/>
      </w:pPr>
      <w:r>
        <w:drawing>
          <wp:inline distT="0" distB="0" distL="114300" distR="114300">
            <wp:extent cx="5168900" cy="3917950"/>
            <wp:effectExtent l="0" t="0" r="0" b="6350"/>
            <wp:docPr id="2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68900" cy="391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both"/>
      </w:pPr>
      <w:r>
        <w:drawing>
          <wp:inline distT="0" distB="0" distL="114300" distR="114300">
            <wp:extent cx="5246370" cy="3935095"/>
            <wp:effectExtent l="0" t="0" r="11430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pacing w:val="4"/>
        </w:rPr>
      </w:pPr>
    </w:p>
    <w:p>
      <w:pPr>
        <w:numPr>
          <w:ilvl w:val="0"/>
          <w:numId w:val="3"/>
        </w:numPr>
        <w:ind w:left="0" w:leftChars="0" w:firstLine="420" w:firstLineChars="200"/>
      </w:pPr>
      <w:r>
        <w:rPr>
          <w:rFonts w:hint="eastAsia"/>
          <w:lang w:val="en-US" w:eastAsia="zh-CN"/>
        </w:rPr>
        <w:t>安装完成之后，点击“完成”即可</w:t>
      </w:r>
      <w:r>
        <w:t>，如下图：</w:t>
      </w:r>
    </w:p>
    <w:p>
      <w:pPr>
        <w:numPr>
          <w:numId w:val="0"/>
        </w:numPr>
      </w:pPr>
      <w:r>
        <w:drawing>
          <wp:inline distT="0" distB="0" distL="114300" distR="114300">
            <wp:extent cx="5246370" cy="3935095"/>
            <wp:effectExtent l="0" t="0" r="11430" b="8255"/>
            <wp:docPr id="6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pacing w:val="4"/>
        </w:rPr>
      </w:pPr>
    </w:p>
    <w:p>
      <w:r>
        <w:rPr>
          <w:rFonts w:hint="eastAsia"/>
          <w:lang w:val="en-US" w:eastAsia="zh-CN"/>
        </w:rPr>
        <w:t>5</w:t>
      </w:r>
      <w:r>
        <w:t>、</w:t>
      </w:r>
      <w:r>
        <w:rPr>
          <w:rFonts w:hint="eastAsia"/>
          <w:lang w:val="en-US" w:eastAsia="zh-CN"/>
        </w:rPr>
        <w:t>安装完成之后，桌面会出现</w:t>
      </w:r>
      <w:r>
        <w:t>如下图</w:t>
      </w:r>
      <w:r>
        <w:rPr>
          <w:rFonts w:hint="eastAsia"/>
          <w:lang w:val="en-US" w:eastAsia="zh-CN"/>
        </w:rPr>
        <w:t>标</w:t>
      </w:r>
      <w:r>
        <w:t>：</w:t>
      </w:r>
    </w:p>
    <w:p>
      <w:pPr>
        <w:pStyle w:val="57"/>
        <w:ind w:firstLine="480" w:firstLineChars="200"/>
        <w:jc w:val="center"/>
        <w:rPr>
          <w:b/>
          <w:spacing w:val="4"/>
        </w:rPr>
      </w:pPr>
      <w:r>
        <w:drawing>
          <wp:inline distT="0" distB="0" distL="114300" distR="114300">
            <wp:extent cx="885825" cy="1000125"/>
            <wp:effectExtent l="0" t="0" r="9525" b="9525"/>
            <wp:docPr id="6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20" w:name="_Toc404765188"/>
      <w:bookmarkStart w:id="21" w:name="_Toc404243493"/>
      <w:bookmarkStart w:id="22" w:name="_Toc346183633"/>
      <w:bookmarkStart w:id="23" w:name="_Toc2175"/>
      <w:bookmarkStart w:id="24" w:name="_Toc346701615"/>
      <w:bookmarkStart w:id="25" w:name="_Toc404764412"/>
      <w:bookmarkStart w:id="26" w:name="_Toc24051"/>
      <w:r>
        <w:t>检测工具</w:t>
      </w:r>
      <w:bookmarkEnd w:id="20"/>
      <w:bookmarkEnd w:id="21"/>
      <w:bookmarkEnd w:id="22"/>
      <w:bookmarkEnd w:id="23"/>
      <w:bookmarkEnd w:id="24"/>
      <w:bookmarkEnd w:id="25"/>
      <w:bookmarkEnd w:id="26"/>
    </w:p>
    <w:p>
      <w:pPr>
        <w:pStyle w:val="4"/>
        <w:widowControl/>
        <w:tabs>
          <w:tab w:val="clear" w:pos="567"/>
        </w:tabs>
      </w:pPr>
      <w:bookmarkStart w:id="27" w:name="_Toc346701616"/>
      <w:bookmarkStart w:id="28" w:name="_Toc20095"/>
      <w:bookmarkStart w:id="29" w:name="_Toc346183634"/>
      <w:bookmarkStart w:id="30" w:name="_Toc404764413"/>
      <w:bookmarkStart w:id="31" w:name="_Toc404243494"/>
      <w:bookmarkStart w:id="32" w:name="_Toc404765189"/>
      <w:bookmarkStart w:id="33" w:name="_Toc17916"/>
      <w:r>
        <w:t>启动检测工具</w:t>
      </w:r>
      <w:bookmarkEnd w:id="27"/>
      <w:bookmarkEnd w:id="28"/>
      <w:bookmarkEnd w:id="29"/>
      <w:bookmarkEnd w:id="30"/>
      <w:bookmarkEnd w:id="31"/>
      <w:bookmarkEnd w:id="32"/>
      <w:bookmarkEnd w:id="33"/>
    </w:p>
    <w:p>
      <w:r>
        <w:t>用户可以点击桌面上的</w:t>
      </w:r>
      <w:r>
        <w:rPr>
          <w:rFonts w:hint="eastAsia"/>
          <w:lang w:val="en-US" w:eastAsia="zh-CN"/>
        </w:rPr>
        <w:t>开标大厅</w:t>
      </w:r>
      <w:r>
        <w:t>检测工具图标来启动检测工具，如下图：</w:t>
      </w:r>
    </w:p>
    <w:p>
      <w:pPr>
        <w:pStyle w:val="57"/>
        <w:ind w:firstLine="480" w:firstLineChars="200"/>
        <w:jc w:val="center"/>
        <w:rPr>
          <w:b/>
          <w:spacing w:val="4"/>
        </w:rPr>
      </w:pPr>
      <w:r>
        <w:drawing>
          <wp:inline distT="0" distB="0" distL="114300" distR="114300">
            <wp:extent cx="885825" cy="1000125"/>
            <wp:effectExtent l="0" t="0" r="9525" b="9525"/>
            <wp:docPr id="7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7"/>
        <w:ind w:firstLine="498" w:firstLineChars="200"/>
        <w:rPr>
          <w:b/>
          <w:spacing w:val="4"/>
        </w:rPr>
      </w:pPr>
    </w:p>
    <w:p>
      <w:pPr>
        <w:pStyle w:val="4"/>
        <w:widowControl/>
        <w:tabs>
          <w:tab w:val="clear" w:pos="567"/>
        </w:tabs>
      </w:pPr>
      <w:bookmarkStart w:id="34" w:name="_Toc346183635"/>
      <w:bookmarkStart w:id="35" w:name="_Toc404765190"/>
      <w:bookmarkStart w:id="36" w:name="_Toc404243495"/>
      <w:bookmarkStart w:id="37" w:name="_Toc346701617"/>
      <w:bookmarkStart w:id="38" w:name="_Toc404764414"/>
      <w:bookmarkStart w:id="39" w:name="_Toc682"/>
      <w:bookmarkStart w:id="40" w:name="_Toc8017"/>
      <w:r>
        <w:rPr>
          <w:rFonts w:hint="eastAsia"/>
          <w:lang w:val="en-US" w:eastAsia="zh-CN"/>
        </w:rPr>
        <w:t>一键</w:t>
      </w:r>
      <w:r>
        <w:t>检测</w:t>
      </w:r>
      <w:bookmarkEnd w:id="34"/>
      <w:bookmarkEnd w:id="35"/>
      <w:bookmarkEnd w:id="36"/>
      <w:bookmarkEnd w:id="37"/>
      <w:bookmarkEnd w:id="38"/>
      <w:bookmarkEnd w:id="39"/>
      <w:bookmarkEnd w:id="40"/>
    </w:p>
    <w:p>
      <w:pPr>
        <w:rPr>
          <w:spacing w:val="4"/>
        </w:rPr>
      </w:pPr>
      <w:r>
        <w:rPr>
          <w:rFonts w:hint="eastAsia"/>
          <w:spacing w:val="4"/>
          <w:lang w:val="en-US" w:eastAsia="zh-CN"/>
        </w:rPr>
        <w:t>打开页面之后，插入锁，点击“不见面开标检测”，如果IE正在运行，关闭IE</w:t>
      </w:r>
      <w:r>
        <w:rPr>
          <w:spacing w:val="4"/>
        </w:rPr>
        <w:t>。</w:t>
      </w:r>
    </w:p>
    <w:p>
      <w:pPr>
        <w:ind w:left="0" w:leftChars="0" w:firstLine="0" w:firstLineChars="0"/>
        <w:rPr>
          <w:spacing w:val="4"/>
        </w:rPr>
      </w:pPr>
      <w:r>
        <w:drawing>
          <wp:inline distT="0" distB="0" distL="114300" distR="114300">
            <wp:extent cx="5243195" cy="3308985"/>
            <wp:effectExtent l="0" t="0" r="14605" b="5715"/>
            <wp:docPr id="7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7"/>
        <w:ind w:firstLine="0" w:firstLineChars="0"/>
        <w:jc w:val="center"/>
        <w:rPr>
          <w:b/>
          <w:spacing w:val="4"/>
        </w:rPr>
      </w:pPr>
    </w:p>
    <w:p>
      <w:pPr>
        <w:ind w:firstLine="436"/>
        <w:rPr>
          <w:spacing w:val="4"/>
        </w:rPr>
      </w:pPr>
    </w:p>
    <w:p>
      <w:pPr>
        <w:pStyle w:val="3"/>
      </w:pPr>
      <w:bookmarkStart w:id="41" w:name="_Toc404765194"/>
      <w:bookmarkStart w:id="42" w:name="_Toc346183639"/>
      <w:bookmarkStart w:id="43" w:name="_Toc346701621"/>
      <w:bookmarkStart w:id="44" w:name="_Toc24983"/>
      <w:bookmarkStart w:id="45" w:name="_Toc404764418"/>
      <w:bookmarkStart w:id="46" w:name="_Toc404243499"/>
      <w:bookmarkStart w:id="47" w:name="_Toc564"/>
      <w:r>
        <w:t>浏览器配置</w:t>
      </w:r>
      <w:bookmarkEnd w:id="41"/>
      <w:bookmarkEnd w:id="42"/>
      <w:bookmarkEnd w:id="43"/>
      <w:bookmarkEnd w:id="44"/>
      <w:bookmarkEnd w:id="45"/>
      <w:bookmarkEnd w:id="46"/>
      <w:bookmarkEnd w:id="47"/>
    </w:p>
    <w:p>
      <w:pPr>
        <w:pStyle w:val="4"/>
        <w:widowControl/>
        <w:tabs>
          <w:tab w:val="clear" w:pos="567"/>
        </w:tabs>
      </w:pPr>
      <w:bookmarkStart w:id="48" w:name="_Toc404765195"/>
      <w:bookmarkStart w:id="49" w:name="_Toc346183640"/>
      <w:bookmarkStart w:id="50" w:name="_Toc404243500"/>
      <w:bookmarkStart w:id="51" w:name="_Toc346701622"/>
      <w:bookmarkStart w:id="52" w:name="_Toc26801"/>
      <w:bookmarkStart w:id="53" w:name="_Toc404764419"/>
      <w:bookmarkStart w:id="54" w:name="_Toc25426"/>
      <w:r>
        <w:t>Internet选项</w:t>
      </w:r>
      <w:bookmarkEnd w:id="48"/>
      <w:bookmarkEnd w:id="49"/>
      <w:bookmarkEnd w:id="50"/>
      <w:bookmarkEnd w:id="51"/>
      <w:bookmarkEnd w:id="52"/>
      <w:bookmarkEnd w:id="53"/>
      <w:bookmarkEnd w:id="54"/>
    </w:p>
    <w:p>
      <w:r>
        <w:t>为了让系统插件能够正常工作，请按照以下步骤进行浏览器的配置。</w:t>
      </w:r>
    </w:p>
    <w:p>
      <w:r>
        <w:t>1、打开浏览器，在“工具”菜单→“Internet选项”，如下图：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562350" cy="3152775"/>
            <wp:effectExtent l="0" t="0" r="6350" b="9525"/>
            <wp:docPr id="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2、弹出对话框之后，请选择“安全”选项卡，具体的界面，如下图：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2914650" cy="3476625"/>
            <wp:effectExtent l="0" t="0" r="6350" b="3175"/>
            <wp:docPr id="1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3、点击绿色的“受信任的站点”的图片，如下图：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648075" cy="3895725"/>
            <wp:effectExtent l="0" t="0" r="9525" b="3175"/>
            <wp:docPr id="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4、点击“站点”按钮，出现如下对话框，如下图：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743325" cy="3048000"/>
            <wp:effectExtent l="0" t="0" r="3175" b="0"/>
            <wp:docPr id="1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pacing w:val="4"/>
        </w:rPr>
      </w:pPr>
      <w:r>
        <w:t>输入系统服务器的IP地址，格式例如：192.168.0.123，然后点击“添加”按钮完成添加，再按“关闭”按钮退出</w:t>
      </w:r>
      <w:r>
        <w:rPr>
          <w:spacing w:val="4"/>
        </w:rPr>
        <w:t>。</w:t>
      </w:r>
    </w:p>
    <w:p>
      <w:r>
        <w:t>5、设置自定义安全级别，开放Activex的访问权限，如下图：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533775" cy="4152900"/>
            <wp:effectExtent l="0" t="0" r="9525" b="0"/>
            <wp:docPr id="1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会出现一个窗口，把其中的Activex控件和插件的设置全部改为启用，如下图：</w:t>
      </w:r>
    </w:p>
    <w:p>
      <w:pPr>
        <w:jc w:val="center"/>
        <w:rPr>
          <w:spacing w:val="4"/>
        </w:rPr>
      </w:pPr>
      <w:r>
        <w:drawing>
          <wp:inline distT="0" distB="0" distL="114300" distR="114300">
            <wp:extent cx="3486150" cy="3676650"/>
            <wp:effectExtent l="0" t="0" r="6350" b="6350"/>
            <wp:docPr id="1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文件下载设置，开放文件下载的权限：设置为启用，如下图：</w:t>
      </w:r>
    </w:p>
    <w:p>
      <w:pPr>
        <w:jc w:val="center"/>
      </w:pPr>
      <w:r>
        <w:rPr>
          <w:spacing w:val="4"/>
        </w:rPr>
        <w:drawing>
          <wp:inline distT="0" distB="0" distL="114300" distR="114300">
            <wp:extent cx="3524250" cy="3705225"/>
            <wp:effectExtent l="0" t="0" r="6350" b="3175"/>
            <wp:docPr id="2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widowControl/>
        <w:tabs>
          <w:tab w:val="clear" w:pos="567"/>
        </w:tabs>
      </w:pPr>
      <w:bookmarkStart w:id="55" w:name="_Toc346701623"/>
      <w:bookmarkStart w:id="56" w:name="_Toc404765196"/>
      <w:bookmarkStart w:id="57" w:name="_Toc25905"/>
      <w:bookmarkStart w:id="58" w:name="_Toc346183641"/>
      <w:bookmarkStart w:id="59" w:name="_Toc404764420"/>
      <w:bookmarkStart w:id="60" w:name="_Toc404243501"/>
      <w:bookmarkStart w:id="61" w:name="_Toc24402"/>
      <w:r>
        <w:t>关闭拦截工具</w:t>
      </w:r>
      <w:bookmarkEnd w:id="55"/>
      <w:bookmarkEnd w:id="56"/>
      <w:bookmarkEnd w:id="57"/>
      <w:bookmarkEnd w:id="58"/>
      <w:bookmarkEnd w:id="59"/>
      <w:bookmarkEnd w:id="60"/>
      <w:bookmarkEnd w:id="61"/>
    </w:p>
    <w:p>
      <w:r>
        <w:t>上述操作完成后，如果系统中某些功能仍不能使用，请将拦截工具关闭再试用。比如在windows工具栏中关闭弹出窗口阻止程序的操作，如下图：</w:t>
      </w:r>
    </w:p>
    <w:p>
      <w:pPr>
        <w:pStyle w:val="57"/>
        <w:ind w:firstLine="480" w:firstLineChars="200"/>
        <w:jc w:val="center"/>
      </w:pPr>
      <w:r>
        <w:drawing>
          <wp:inline distT="0" distB="0" distL="114300" distR="114300">
            <wp:extent cx="5095875" cy="2324100"/>
            <wp:effectExtent l="0" t="0" r="9525" b="0"/>
            <wp:docPr id="2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autoSpaceDE w:val="0"/>
        <w:autoSpaceDN w:val="0"/>
        <w:adjustRightInd w:val="0"/>
        <w:spacing w:line="300" w:lineRule="auto"/>
        <w:rPr>
          <w:rFonts w:hint="eastAsia"/>
        </w:rPr>
      </w:pPr>
    </w:p>
    <w:p>
      <w:pPr>
        <w:pStyle w:val="2"/>
      </w:pPr>
      <w:bookmarkStart w:id="62" w:name="_Toc5943"/>
      <w:r>
        <w:rPr>
          <w:rFonts w:hint="eastAsia"/>
        </w:rPr>
        <w:t>不见面开标大厅</w:t>
      </w:r>
      <w:bookmarkEnd w:id="62"/>
    </w:p>
    <w:p>
      <w:r>
        <w:t>本系统主要提供给</w:t>
      </w:r>
      <w:r>
        <w:rPr>
          <w:rFonts w:hint="eastAsia"/>
        </w:rPr>
        <w:t>主持人（招标代理/招标人）</w:t>
      </w:r>
      <w:r>
        <w:t>使用，实现</w:t>
      </w:r>
      <w:r>
        <w:rPr>
          <w:rFonts w:hint="eastAsia"/>
        </w:rPr>
        <w:t>主持人登录、查看今日项目、公布投标人、</w:t>
      </w:r>
      <w:r>
        <w:rPr>
          <w:rFonts w:hint="eastAsia"/>
          <w:lang w:val="en-US" w:eastAsia="zh-CN"/>
        </w:rPr>
        <w:t>系数录入</w:t>
      </w:r>
      <w:r>
        <w:rPr>
          <w:rFonts w:hint="eastAsia"/>
        </w:rPr>
        <w:t>、解密、唱标、开标结束等功能</w:t>
      </w:r>
      <w:r>
        <w:t>。</w:t>
      </w:r>
    </w:p>
    <w:p>
      <w:pPr>
        <w:pStyle w:val="3"/>
      </w:pPr>
      <w:bookmarkStart w:id="63" w:name="_Toc3598"/>
      <w:r>
        <w:rPr>
          <w:rFonts w:hint="eastAsia"/>
          <w:lang w:val="en-US" w:eastAsia="zh-CN"/>
        </w:rPr>
        <w:t>不见面开标项目的选择</w:t>
      </w:r>
      <w:bookmarkEnd w:id="63"/>
    </w:p>
    <w:p>
      <w:pPr>
        <w:ind w:firstLine="422"/>
      </w:pPr>
      <w:r>
        <w:rPr>
          <w:b/>
          <w:bCs/>
        </w:rPr>
        <w:t>功能说明：</w:t>
      </w:r>
      <w:r>
        <w:rPr>
          <w:rFonts w:hint="eastAsia"/>
          <w:b w:val="0"/>
          <w:bCs w:val="0"/>
          <w:lang w:val="en-US" w:eastAsia="zh-CN"/>
        </w:rPr>
        <w:t>新建标段的时候选择该项目是否为不见面开标系统项目（</w:t>
      </w:r>
      <w:r>
        <w:rPr>
          <w:rFonts w:hint="eastAsia"/>
          <w:b w:val="0"/>
          <w:bCs w:val="0"/>
          <w:color w:val="FF0000"/>
          <w:lang w:val="en-US" w:eastAsia="zh-CN"/>
        </w:rPr>
        <w:t>非钉钉直播</w:t>
      </w:r>
      <w:r>
        <w:rPr>
          <w:rFonts w:hint="eastAsia"/>
          <w:b w:val="0"/>
          <w:bCs w:val="0"/>
          <w:lang w:val="en-US" w:eastAsia="zh-CN"/>
        </w:rPr>
        <w:t>）</w:t>
      </w:r>
      <w:r>
        <w:rPr>
          <w:b w:val="0"/>
          <w:bCs w:val="0"/>
        </w:rP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rFonts w:hint="eastAsia"/>
          <w:lang w:val="en-US" w:eastAsia="zh-CN"/>
        </w:rPr>
        <w:t>项目在</w:t>
      </w:r>
      <w:r>
        <w:rPr>
          <w:rFonts w:hint="eastAsia"/>
        </w:rPr>
        <w:t>业务系统注册过，且审核通过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rPr>
          <w:color w:val="FF0000"/>
        </w:rPr>
      </w:pPr>
      <w:r>
        <w:rPr>
          <w:color w:val="FF0000"/>
        </w:rPr>
        <w:t>1、</w:t>
      </w:r>
      <w:r>
        <w:rPr>
          <w:rFonts w:hint="eastAsia"/>
          <w:color w:val="FF0000"/>
          <w:lang w:val="en-US" w:eastAsia="zh-CN"/>
        </w:rPr>
        <w:t>建设工程的招标项目--新增标段页面，针对需要使用不见面开标系统的项目，选择“是”，如继续进行钉钉直播的项目，则选择“否”。</w:t>
      </w:r>
    </w:p>
    <w:p>
      <w:pPr>
        <w:ind w:firstLine="0" w:firstLineChars="0"/>
        <w:rPr>
          <w:rFonts w:hint="eastAsia" w:eastAsia="宋体"/>
          <w:lang w:eastAsia="zh-CN"/>
        </w:rPr>
      </w:pPr>
    </w:p>
    <w:p>
      <w:pPr>
        <w:ind w:firstLine="420" w:firstLineChars="200"/>
        <w:rPr>
          <w:rFonts w:hint="eastAsia" w:eastAsia="宋体"/>
          <w:lang w:eastAsia="zh-CN"/>
        </w:rPr>
      </w:pPr>
      <w:r>
        <w:rPr>
          <w:rFonts w:hint="eastAsia"/>
          <w:color w:val="FF0000"/>
          <w:lang w:val="en-US" w:eastAsia="zh-CN"/>
        </w:rPr>
        <w:t>在政府采购的项目分包-新增分包页面，针对需要使用不见面开标系统的项目，选择“是”，如继续进行钉钉直播的项目，则选择“否”。</w:t>
      </w:r>
      <w:r>
        <w:drawing>
          <wp:inline distT="0" distB="0" distL="114300" distR="114300">
            <wp:extent cx="5239385" cy="2371725"/>
            <wp:effectExtent l="0" t="0" r="18415" b="9525"/>
            <wp:docPr id="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</w:pPr>
      <w:bookmarkStart w:id="64" w:name="_Toc10081"/>
      <w:r>
        <w:rPr>
          <w:rFonts w:hint="eastAsia"/>
        </w:rPr>
        <w:t>登录</w:t>
      </w:r>
      <w:bookmarkEnd w:id="64"/>
    </w:p>
    <w:p>
      <w:pPr>
        <w:ind w:firstLine="422"/>
      </w:pPr>
      <w:r>
        <w:rPr>
          <w:b/>
          <w:bCs/>
        </w:rPr>
        <w:t>功能说明：</w:t>
      </w:r>
      <w:r>
        <w:rPr>
          <w:rFonts w:hint="eastAsia"/>
        </w:rPr>
        <w:t>主持人</w:t>
      </w:r>
      <w:r>
        <w:rPr>
          <w:rFonts w:hint="eastAsia"/>
          <w:lang w:eastAsia="zh-CN"/>
        </w:rPr>
        <w:t>（代理机构）</w:t>
      </w:r>
      <w:r>
        <w:rPr>
          <w:rFonts w:hint="eastAsia"/>
        </w:rPr>
        <w:t>登录系统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rFonts w:hint="eastAsia"/>
        </w:rPr>
        <w:t>主持人</w:t>
      </w:r>
      <w:r>
        <w:rPr>
          <w:rFonts w:hint="eastAsia"/>
          <w:lang w:eastAsia="zh-CN"/>
        </w:rPr>
        <w:t>（代理机构）</w:t>
      </w:r>
      <w:r>
        <w:rPr>
          <w:rFonts w:hint="eastAsia"/>
        </w:rPr>
        <w:t>在业务系统注册过，且审核通过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r>
        <w:t>1、</w:t>
      </w:r>
      <w:r>
        <w:rPr>
          <w:rFonts w:hint="eastAsia"/>
        </w:rPr>
        <w:t>打开</w:t>
      </w:r>
      <w:r>
        <w:rPr>
          <w:rFonts w:hint="eastAsia"/>
          <w:lang w:val="en-US" w:eastAsia="zh-CN"/>
        </w:rPr>
        <w:t>交易中心首页面</w:t>
      </w:r>
      <w:r>
        <w:rPr>
          <w:rFonts w:hint="eastAsia"/>
        </w:rPr>
        <w:t>登录页面</w:t>
      </w:r>
      <w:r>
        <w:rPr>
          <w:rFonts w:hint="eastAsia"/>
          <w:lang w:eastAsia="zh-CN"/>
        </w:rPr>
        <w:t>（http</w:t>
      </w:r>
      <w:r>
        <w:rPr>
          <w:rFonts w:hint="eastAsia"/>
          <w:lang w:val="en-US" w:eastAsia="zh-CN"/>
        </w:rPr>
        <w:t>s</w:t>
      </w:r>
      <w:r>
        <w:rPr>
          <w:rFonts w:hint="eastAsia"/>
          <w:lang w:eastAsia="zh-CN"/>
        </w:rPr>
        <w:t>://ggzy.chuzhou.gov.cn）</w:t>
      </w:r>
      <w:r>
        <w:t>，如下图：</w:t>
      </w:r>
    </w:p>
    <w:p>
      <w:pPr>
        <w:ind w:firstLine="0" w:firstLineChars="0"/>
      </w:pPr>
      <w:r>
        <w:drawing>
          <wp:inline distT="0" distB="0" distL="114300" distR="114300">
            <wp:extent cx="5246370" cy="2894330"/>
            <wp:effectExtent l="0" t="0" r="11430" b="1270"/>
            <wp:docPr id="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2、</w:t>
      </w:r>
      <w:r>
        <w:rPr>
          <w:rFonts w:hint="eastAsia"/>
        </w:rPr>
        <w:t>点击“登录”，在左侧选择“招标代理”，插入CA锁，输入密码后，点击“登录”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地址为：https://ggzy.chuzhou.gov.cn/BidOpening</w:t>
      </w:r>
    </w:p>
    <w:p>
      <w:pPr>
        <w:ind w:firstLine="0" w:firstLineChars="0"/>
      </w:pPr>
      <w:r>
        <w:drawing>
          <wp:inline distT="0" distB="0" distL="114300" distR="114300">
            <wp:extent cx="5236845" cy="2591435"/>
            <wp:effectExtent l="0" t="0" r="1905" b="18415"/>
            <wp:docPr id="7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5" w:name="_Toc5517"/>
      <w:r>
        <w:rPr>
          <w:rFonts w:hint="eastAsia"/>
        </w:rPr>
        <w:t>项目列表页面</w:t>
      </w:r>
      <w:bookmarkEnd w:id="65"/>
    </w:p>
    <w:p>
      <w:pPr>
        <w:ind w:firstLine="422"/>
      </w:pPr>
      <w:r>
        <w:rPr>
          <w:b/>
          <w:bCs/>
        </w:rPr>
        <w:t>功能说明：</w:t>
      </w:r>
      <w:r>
        <w:rPr>
          <w:rFonts w:hint="eastAsia"/>
        </w:rPr>
        <w:t>主持人登录之后可以看到今日开标标段以及历史标段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前置条件：</w:t>
      </w:r>
    </w:p>
    <w:p>
      <w:pPr>
        <w:numPr>
          <w:ilvl w:val="0"/>
          <w:numId w:val="4"/>
        </w:numPr>
      </w:pPr>
      <w:r>
        <w:rPr>
          <w:rFonts w:hint="eastAsia"/>
        </w:rPr>
        <w:t>当前主持人今天有开标的标段；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5"/>
        </w:numPr>
      </w:pPr>
      <w:r>
        <w:rPr>
          <w:rFonts w:hint="eastAsia"/>
        </w:rPr>
        <w:t>右上角有“退出”按钮，点击可退出系统</w:t>
      </w:r>
      <w:r>
        <w:t>，</w:t>
      </w:r>
      <w:r>
        <w:rPr>
          <w:rFonts w:hint="eastAsia"/>
        </w:rPr>
        <w:t>中间项目列表区域右上角可根据标段名称或者标段编号查询，</w:t>
      </w:r>
      <w:r>
        <w:t>如下图：</w:t>
      </w:r>
    </w:p>
    <w:p>
      <w:pPr>
        <w:numPr>
          <w:numId w:val="0"/>
        </w:numPr>
      </w:pPr>
      <w:r>
        <w:drawing>
          <wp:inline distT="0" distB="0" distL="114300" distR="114300">
            <wp:extent cx="5235575" cy="2385060"/>
            <wp:effectExtent l="0" t="0" r="3175" b="15240"/>
            <wp:docPr id="7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3"/>
      </w:pPr>
      <w:bookmarkStart w:id="66" w:name="_Toc16780"/>
      <w:r>
        <w:rPr>
          <w:rFonts w:hint="eastAsia"/>
        </w:rPr>
        <w:t>进入开标大厅</w:t>
      </w:r>
      <w:bookmarkEnd w:id="66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页面基本内容介绍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无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6"/>
        </w:numPr>
      </w:pPr>
      <w:r>
        <w:rPr>
          <w:rFonts w:hint="eastAsia"/>
        </w:rPr>
        <w:t>进入页面首先阅读开标流程，点击“我已阅读”进入开标大厅，点击“取消”返回项目列表页面</w:t>
      </w:r>
      <w:r>
        <w:t>。</w:t>
      </w:r>
    </w:p>
    <w:p>
      <w:pPr>
        <w:ind w:firstLine="0" w:firstLineChars="0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203575" cy="3309620"/>
            <wp:effectExtent l="0" t="0" r="9525" b="5080"/>
            <wp:docPr id="32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 descr="IMG_25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03575" cy="3309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</w:pPr>
      <w:r>
        <w:rPr>
          <w:rFonts w:hint="eastAsia"/>
        </w:rPr>
        <w:t>页面上方展示基础信息、右上方有“返回”按钮，点击返回项目列表页面；</w:t>
      </w:r>
    </w:p>
    <w:p>
      <w:pPr>
        <w:numPr>
          <w:ilvl w:val="0"/>
          <w:numId w:val="6"/>
        </w:numPr>
      </w:pPr>
      <w:r>
        <w:rPr>
          <w:rFonts w:hint="eastAsia"/>
        </w:rPr>
        <w:t>左侧中间部分是开标环节展示，不同开标过程展示不同的内容；</w:t>
      </w:r>
    </w:p>
    <w:p>
      <w:pPr>
        <w:ind w:firstLine="0" w:firstLineChars="0"/>
      </w:pPr>
      <w:r>
        <w:drawing>
          <wp:inline distT="0" distB="0" distL="114300" distR="114300">
            <wp:extent cx="5245735" cy="2825750"/>
            <wp:effectExtent l="0" t="0" r="12065" b="12700"/>
            <wp:docPr id="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</w:p>
    <w:p>
      <w:pPr>
        <w:numPr>
          <w:ilvl w:val="0"/>
          <w:numId w:val="6"/>
        </w:numPr>
      </w:pPr>
      <w:r>
        <w:rPr>
          <w:rFonts w:hint="eastAsia"/>
        </w:rPr>
        <w:t>右侧上部分为直播控制，直播开标场景，主持人开启直播直接即可观看；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1290" cy="3283585"/>
            <wp:effectExtent l="0" t="0" r="16510" b="12065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ind w:left="0" w:leftChars="0" w:firstLine="420" w:firstLineChars="0"/>
        <w:rPr>
          <w:rFonts w:hint="eastAsia"/>
          <w:lang w:eastAsia="zh-CN"/>
        </w:rPr>
      </w:pPr>
      <w:r>
        <w:rPr>
          <w:rFonts w:hint="eastAsia"/>
        </w:rPr>
        <w:t>点击右下方“开启直播”按钮，开启直播，</w:t>
      </w:r>
      <w:r>
        <w:rPr>
          <w:rFonts w:hint="eastAsia"/>
          <w:lang w:val="en-US" w:eastAsia="zh-CN"/>
        </w:rPr>
        <w:t>画面会展示主席台与摇号机场景</w:t>
      </w:r>
      <w:r>
        <w:rPr>
          <w:rFonts w:hint="eastAsia"/>
          <w:lang w:eastAsia="zh-CN"/>
        </w:rPr>
        <w:t>；</w:t>
      </w:r>
    </w:p>
    <w:p>
      <w:pPr>
        <w:numPr>
          <w:ilvl w:val="0"/>
          <w:numId w:val="7"/>
        </w:numPr>
        <w:ind w:left="0" w:leftChars="0" w:firstLine="420" w:firstLineChars="0"/>
        <w:rPr>
          <w:rFonts w:hint="eastAsia"/>
        </w:rPr>
      </w:pPr>
      <w:r>
        <w:rPr>
          <w:rFonts w:hint="eastAsia"/>
        </w:rPr>
        <w:t>点击分享屏幕可将开标电脑屏幕分享观看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主持人说的话所有投标人可以听到；</w:t>
      </w:r>
    </w:p>
    <w:p>
      <w:pPr>
        <w:numPr>
          <w:ilvl w:val="0"/>
          <w:numId w:val="7"/>
        </w:numPr>
        <w:ind w:left="0" w:leftChars="0" w:firstLine="420" w:firstLineChars="0"/>
      </w:pPr>
      <w:r>
        <w:rPr>
          <w:rFonts w:hint="eastAsia"/>
        </w:rPr>
        <w:t>点击开启摄像头可将开启开标电脑摄像头。</w:t>
      </w:r>
    </w:p>
    <w:p>
      <w:pPr>
        <w:numPr>
          <w:ilvl w:val="0"/>
          <w:numId w:val="0"/>
        </w:numPr>
        <w:ind w:left="420" w:leftChars="0"/>
      </w:pPr>
      <w:r>
        <w:drawing>
          <wp:inline distT="0" distB="0" distL="114300" distR="114300">
            <wp:extent cx="5243830" cy="3089910"/>
            <wp:effectExtent l="0" t="0" r="13970" b="15240"/>
            <wp:docPr id="7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308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</w:pPr>
    </w:p>
    <w:p>
      <w:pPr>
        <w:ind w:left="420" w:firstLine="0" w:firstLineChars="0"/>
      </w:pPr>
    </w:p>
    <w:p>
      <w:pPr>
        <w:ind w:left="420" w:firstLine="0" w:firstLineChars="0"/>
      </w:pPr>
    </w:p>
    <w:p>
      <w:pPr>
        <w:ind w:left="420" w:firstLine="0" w:firstLineChars="0"/>
      </w:pPr>
    </w:p>
    <w:p>
      <w:pPr>
        <w:numPr>
          <w:ilvl w:val="0"/>
          <w:numId w:val="6"/>
        </w:numPr>
        <w:ind w:left="420" w:firstLine="0" w:firstLineChars="0"/>
      </w:pPr>
      <w:r>
        <w:rPr>
          <w:rFonts w:hint="eastAsia"/>
        </w:rPr>
        <w:t>交流控制可开启群聊和私聊模式。</w:t>
      </w:r>
    </w:p>
    <w:p>
      <w:pPr>
        <w:ind w:left="420" w:firstLine="0" w:firstLineChars="0"/>
      </w:pPr>
      <w:r>
        <w:drawing>
          <wp:inline distT="0" distB="0" distL="114300" distR="114300">
            <wp:extent cx="5237480" cy="3217545"/>
            <wp:effectExtent l="0" t="0" r="1270" b="1905"/>
            <wp:docPr id="7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ind w:left="420" w:firstLine="0" w:firstLineChars="0"/>
      </w:pPr>
      <w:r>
        <w:rPr>
          <w:rFonts w:hint="eastAsia"/>
        </w:rPr>
        <w:t>人员列表开标后可查看人员列表信息（开标后展示）</w:t>
      </w:r>
    </w:p>
    <w:p>
      <w:pPr>
        <w:numPr>
          <w:ilvl w:val="0"/>
          <w:numId w:val="6"/>
        </w:numPr>
        <w:ind w:firstLineChars="0"/>
      </w:pPr>
      <w:r>
        <w:rPr>
          <w:rFonts w:hint="eastAsia"/>
        </w:rPr>
        <w:t>标段进度展示开标进度信息（开标后展示）</w:t>
      </w:r>
    </w:p>
    <w:p>
      <w:pPr>
        <w:numPr>
          <w:ilvl w:val="0"/>
          <w:numId w:val="6"/>
        </w:numPr>
      </w:pPr>
      <w:r>
        <w:rPr>
          <w:rFonts w:hint="eastAsia"/>
        </w:rPr>
        <w:t>右侧下部分是公告栏，主要展示阶段信息、主持人切换视频、暂停、解密等信息；点击右上角放大镜可查看更多；</w:t>
      </w:r>
    </w:p>
    <w:p>
      <w:pPr>
        <w:ind w:firstLine="0" w:firstLineChars="0"/>
      </w:pPr>
      <w:r>
        <w:drawing>
          <wp:inline distT="0" distB="0" distL="114300" distR="114300">
            <wp:extent cx="5243830" cy="2940050"/>
            <wp:effectExtent l="0" t="0" r="13970" b="12700"/>
            <wp:docPr id="8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114300" distR="114300">
            <wp:extent cx="5236845" cy="2894330"/>
            <wp:effectExtent l="0" t="0" r="1905" b="1270"/>
            <wp:docPr id="8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numPr>
          <w:ilvl w:val="0"/>
          <w:numId w:val="6"/>
        </w:numPr>
        <w:ind w:firstLine="0" w:firstLineChars="0"/>
      </w:pPr>
      <w:r>
        <w:rPr>
          <w:rFonts w:hint="eastAsia"/>
        </w:rPr>
        <w:t>互动交流栏目，代理可直接在该栏目发送信息和文档；开启群聊模式后投标人可在该模块发言。</w:t>
      </w:r>
    </w:p>
    <w:p>
      <w:pPr>
        <w:numPr>
          <w:numId w:val="0"/>
        </w:numPr>
      </w:pPr>
      <w:r>
        <w:drawing>
          <wp:inline distT="0" distB="0" distL="114300" distR="114300">
            <wp:extent cx="5247640" cy="3121660"/>
            <wp:effectExtent l="0" t="0" r="10160" b="2540"/>
            <wp:docPr id="8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numPr>
          <w:ilvl w:val="0"/>
          <w:numId w:val="6"/>
        </w:numPr>
      </w:pPr>
      <w:r>
        <w:rPr>
          <w:rFonts w:hint="eastAsia"/>
        </w:rPr>
        <w:t>右下部分按钮，“终止开标”按钮，点击“终止开标”按钮，录入原因，点击确认之后将流标；</w:t>
      </w:r>
      <w:r>
        <w:drawing>
          <wp:inline distT="0" distB="0" distL="114300" distR="114300">
            <wp:extent cx="5238115" cy="3232785"/>
            <wp:effectExtent l="0" t="0" r="635" b="5715"/>
            <wp:docPr id="8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323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  <w:r>
        <w:drawing>
          <wp:inline distT="0" distB="0" distL="114300" distR="114300">
            <wp:extent cx="5240020" cy="3147060"/>
            <wp:effectExtent l="0" t="0" r="17780" b="15240"/>
            <wp:docPr id="8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3"/>
      </w:pPr>
      <w:bookmarkStart w:id="67" w:name="_Toc11063"/>
      <w:r>
        <w:rPr>
          <w:rFonts w:hint="eastAsia"/>
        </w:rPr>
        <w:t>等待开标</w:t>
      </w:r>
      <w:bookmarkEnd w:id="67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主持人在等待开标时可开启直播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无</w:t>
      </w:r>
      <w:r>
        <w:rPr>
          <w:bCs/>
        </w:rP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8"/>
        </w:numPr>
      </w:pPr>
      <w:r>
        <w:rPr>
          <w:rFonts w:hint="eastAsia"/>
        </w:rPr>
        <w:t>可查看所有人员在线情况，左侧中下方的座位图显示的是投标人签到在线情况，第一个座位是当前投标人的，蓝色代表在线，白色代表离线，有下角的√代表已签到；</w:t>
      </w:r>
    </w:p>
    <w:p>
      <w:pPr>
        <w:ind w:left="420" w:leftChars="200" w:firstLine="0" w:firstLineChars="0"/>
      </w:pPr>
      <w:r>
        <w:rPr>
          <w:rFonts w:hint="eastAsia"/>
        </w:rPr>
        <w:t>在席：</w:t>
      </w:r>
      <w:r>
        <w:drawing>
          <wp:inline distT="0" distB="0" distL="114300" distR="114300">
            <wp:extent cx="680085" cy="629285"/>
            <wp:effectExtent l="0" t="0" r="0" b="0"/>
            <wp:docPr id="3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0085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离席：</w:t>
      </w:r>
      <w:r>
        <w:drawing>
          <wp:inline distT="0" distB="0" distL="114300" distR="114300">
            <wp:extent cx="665480" cy="629285"/>
            <wp:effectExtent l="0" t="0" r="0" b="0"/>
            <wp:docPr id="3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5480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，已签到：</w:t>
      </w:r>
      <w:r>
        <w:drawing>
          <wp:inline distT="0" distB="0" distL="114300" distR="114300">
            <wp:extent cx="1718945" cy="680085"/>
            <wp:effectExtent l="0" t="0" r="0" b="0"/>
            <wp:docPr id="3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68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48910" cy="2646680"/>
            <wp:effectExtent l="19050" t="0" r="889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46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</w:pPr>
      <w:r>
        <w:rPr>
          <w:rFonts w:hint="eastAsia"/>
        </w:rPr>
        <w:t>点击座位图下方“查看更</w:t>
      </w:r>
      <w:r>
        <w:rPr>
          <w:rFonts w:hint="eastAsia"/>
          <w:lang w:val="en-US" w:eastAsia="zh-CN"/>
        </w:rPr>
        <w:t>多</w:t>
      </w:r>
      <w:r>
        <w:rPr>
          <w:rFonts w:hint="eastAsia"/>
        </w:rPr>
        <w:t>”，可以查看所有投标人情况；</w:t>
      </w:r>
    </w:p>
    <w:p>
      <w:pPr>
        <w:ind w:firstLine="0" w:firstLineChars="0"/>
      </w:pPr>
      <w:r>
        <w:drawing>
          <wp:inline distT="0" distB="0" distL="0" distR="0">
            <wp:extent cx="5248910" cy="2645410"/>
            <wp:effectExtent l="19050" t="0" r="889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45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8" w:name="_Toc29102"/>
      <w:r>
        <w:rPr>
          <w:rFonts w:hint="eastAsia"/>
        </w:rPr>
        <w:t>公布投标人</w:t>
      </w:r>
      <w:bookmarkEnd w:id="68"/>
    </w:p>
    <w:p>
      <w:pPr>
        <w:ind w:firstLine="422"/>
      </w:pPr>
      <w:r>
        <w:rPr>
          <w:b/>
        </w:rPr>
        <w:t>功能说明：</w:t>
      </w:r>
      <w:r>
        <w:rPr>
          <w:rFonts w:hint="eastAsia"/>
          <w:bCs/>
        </w:rPr>
        <w:t>主持人公布投标人</w:t>
      </w:r>
      <w: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开标时间已到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9"/>
        </w:numPr>
      </w:pPr>
      <w:r>
        <w:rPr>
          <w:rFonts w:hint="eastAsia"/>
        </w:rPr>
        <w:t>点击“公布投标人”按钮公布投标人；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3195" cy="2956560"/>
            <wp:effectExtent l="0" t="0" r="1905" b="2540"/>
            <wp:docPr id="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  <w:r>
        <w:drawing>
          <wp:inline distT="0" distB="0" distL="0" distR="0">
            <wp:extent cx="5248910" cy="2656205"/>
            <wp:effectExtent l="19050" t="0" r="8890" b="0"/>
            <wp:docPr id="4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9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56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</w:pPr>
      <w:r>
        <w:rPr>
          <w:rFonts w:hint="eastAsia"/>
        </w:rPr>
        <w:t>公布投标人完成之后，点击“确认”按钮，进入下一步；如果公布失败，请点击“重试”按钮重新同步；</w:t>
      </w:r>
    </w:p>
    <w:p>
      <w:pPr>
        <w:ind w:firstLine="0" w:firstLineChars="0"/>
      </w:pPr>
      <w:r>
        <w:drawing>
          <wp:inline distT="0" distB="0" distL="0" distR="0">
            <wp:extent cx="5248910" cy="2645410"/>
            <wp:effectExtent l="19050" t="0" r="889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45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9" w:name="_Toc28309"/>
      <w:r>
        <w:rPr>
          <w:rFonts w:hint="eastAsia"/>
        </w:rPr>
        <w:t>查看投标人名单</w:t>
      </w:r>
      <w:bookmarkEnd w:id="69"/>
    </w:p>
    <w:p>
      <w:pPr>
        <w:ind w:firstLine="422"/>
      </w:pPr>
      <w:r>
        <w:rPr>
          <w:b/>
        </w:rPr>
        <w:t>功能说明：</w:t>
      </w:r>
      <w:r>
        <w:rPr>
          <w:rFonts w:hint="eastAsia"/>
          <w:bCs/>
        </w:rPr>
        <w:t>查看投标人名单</w:t>
      </w:r>
      <w: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主持人已公布投标人</w:t>
      </w:r>
      <w:r>
        <w:t>。</w:t>
      </w:r>
    </w:p>
    <w:p>
      <w:pPr>
        <w:rPr>
          <w:color w:val="FF0000"/>
        </w:rPr>
      </w:pPr>
      <w:r>
        <w:rPr>
          <w:rFonts w:hint="eastAsia"/>
          <w:color w:val="FF0000"/>
        </w:rPr>
        <w:t>注：最终撤销的单位无需参加后续流程；</w:t>
      </w:r>
    </w:p>
    <w:p>
      <w:pPr>
        <w:ind w:firstLine="422"/>
      </w:pPr>
      <w:r>
        <w:rPr>
          <w:b/>
          <w:bCs/>
        </w:rPr>
        <w:t>操作步骤：</w:t>
      </w:r>
    </w:p>
    <w:p>
      <w:pPr>
        <w:numPr>
          <w:ilvl w:val="0"/>
          <w:numId w:val="10"/>
        </w:numPr>
      </w:pPr>
      <w:r>
        <w:rPr>
          <w:rFonts w:hint="eastAsia"/>
        </w:rPr>
        <w:t>可撤销投标文件，鼠标移到右上角“撤销”按钮之后弹出投标文件撤销页面，填写撤销原因之后，点击“确认撤销”按钮进行撤销；</w:t>
      </w:r>
    </w:p>
    <w:p>
      <w:pPr>
        <w:ind w:firstLine="0" w:firstLineChars="0"/>
        <w:rPr>
          <w:color w:val="FF0000"/>
        </w:rPr>
      </w:pPr>
      <w:r>
        <w:rPr>
          <w:rFonts w:hint="eastAsia"/>
          <w:color w:val="FF0000"/>
        </w:rPr>
        <w:t xml:space="preserve">    注：请主持人按照相关法律法规以及招标文件要求，慎重确认撤销操作！</w:t>
      </w:r>
    </w:p>
    <w:p>
      <w:pPr>
        <w:ind w:firstLine="0" w:firstLineChars="0"/>
      </w:pPr>
      <w:r>
        <w:drawing>
          <wp:inline distT="0" distB="0" distL="114300" distR="114300">
            <wp:extent cx="5243830" cy="3041650"/>
            <wp:effectExtent l="0" t="0" r="13970" b="6350"/>
            <wp:docPr id="8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48910" cy="2635250"/>
            <wp:effectExtent l="19050" t="0" r="889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35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48910" cy="2656205"/>
            <wp:effectExtent l="19050" t="0" r="889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56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</w:pPr>
      <w:r>
        <w:rPr>
          <w:rFonts w:hint="eastAsia"/>
        </w:rPr>
        <w:t>可查看主持人撤销的投标文件的撤销原因；</w:t>
      </w:r>
    </w:p>
    <w:p>
      <w:pPr>
        <w:ind w:firstLine="0" w:firstLineChars="0"/>
      </w:pPr>
      <w:r>
        <w:drawing>
          <wp:inline distT="0" distB="0" distL="0" distR="0">
            <wp:extent cx="5248910" cy="2672080"/>
            <wp:effectExtent l="19050" t="0" r="8890" b="0"/>
            <wp:docPr id="10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8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72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48910" cy="2628265"/>
            <wp:effectExtent l="19050" t="0" r="8890" b="0"/>
            <wp:docPr id="11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28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</w:pPr>
      <w:r>
        <w:rPr>
          <w:rFonts w:hint="eastAsia"/>
        </w:rPr>
        <w:t>主持人可点击右上角打印按钮，点击可打印投标人名单；</w:t>
      </w:r>
    </w:p>
    <w:p>
      <w:pPr>
        <w:numPr>
          <w:numId w:val="0"/>
        </w:numPr>
      </w:pPr>
    </w:p>
    <w:p>
      <w:pPr>
        <w:ind w:firstLine="0" w:firstLineChars="0"/>
      </w:pPr>
      <w:r>
        <w:drawing>
          <wp:inline distT="0" distB="0" distL="114300" distR="114300">
            <wp:extent cx="5245100" cy="2948305"/>
            <wp:effectExtent l="0" t="0" r="0" b="0"/>
            <wp:docPr id="4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</w:pPr>
      <w:r>
        <w:rPr>
          <w:rFonts w:hint="eastAsia"/>
        </w:rPr>
        <w:t>点击进入下一阶段；</w:t>
      </w:r>
    </w:p>
    <w:p>
      <w:pPr>
        <w:pStyle w:val="3"/>
      </w:pPr>
      <w:bookmarkStart w:id="70" w:name="_Toc14062"/>
      <w:r>
        <w:rPr>
          <w:rFonts w:hint="eastAsia"/>
        </w:rPr>
        <w:t>投标人解密</w:t>
      </w:r>
      <w:bookmarkEnd w:id="70"/>
    </w:p>
    <w:p>
      <w:r>
        <w:rPr>
          <w:rFonts w:hint="eastAsia"/>
        </w:rPr>
        <w:t>功能说明：等待投标人解密</w:t>
      </w:r>
    </w:p>
    <w:p>
      <w:r>
        <w:rPr>
          <w:rFonts w:hint="eastAsia"/>
        </w:rPr>
        <w:t>前置条件：公布投标人</w:t>
      </w:r>
    </w:p>
    <w:p>
      <w:pPr>
        <w:rPr>
          <w:rFonts w:hint="eastAsia"/>
        </w:rPr>
      </w:pPr>
      <w:r>
        <w:rPr>
          <w:rFonts w:hint="eastAsia"/>
        </w:rPr>
        <w:t>操作步骤：等待投标人解密完成（限时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小时）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47640" cy="2898775"/>
            <wp:effectExtent l="0" t="0" r="10160" b="15875"/>
            <wp:docPr id="8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5248910" cy="2650490"/>
            <wp:effectExtent l="19050" t="0" r="889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50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</w:pPr>
      <w:r>
        <w:rPr>
          <w:rFonts w:hint="eastAsia"/>
        </w:rPr>
        <w:t>解密时间已到，尚有投标人未解密完成，主持人可以延迟解密时间或者直接进行招标人解密，点击“延迟解密时间”，所有未解密成功的投标人可以继续解密；点击“进行招标人解密”将进行招标人解密；</w:t>
      </w:r>
    </w:p>
    <w:p>
      <w:pPr>
        <w:ind w:firstLine="0" w:firstLineChars="0"/>
      </w:pPr>
      <w:r>
        <w:drawing>
          <wp:inline distT="0" distB="0" distL="114300" distR="114300">
            <wp:extent cx="5245100" cy="2948305"/>
            <wp:effectExtent l="0" t="0" r="0" b="0"/>
            <wp:docPr id="4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71" w:name="_Toc20711"/>
      <w:r>
        <w:rPr>
          <w:rFonts w:hint="eastAsia"/>
        </w:rPr>
        <w:t>招标人解密</w:t>
      </w:r>
      <w:bookmarkEnd w:id="71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招标人解密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投标人全部解密完成，或者解密时间已到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12"/>
        </w:numPr>
      </w:pPr>
      <w:r>
        <w:rPr>
          <w:rFonts w:hint="eastAsia"/>
        </w:rPr>
        <w:t>点击“招标人解密”按钮；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5735" cy="2821305"/>
            <wp:effectExtent l="0" t="0" r="12065" b="10795"/>
            <wp:docPr id="4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numPr>
          <w:ilvl w:val="0"/>
          <w:numId w:val="12"/>
        </w:numPr>
      </w:pPr>
      <w:r>
        <w:rPr>
          <w:rFonts w:hint="eastAsia"/>
        </w:rPr>
        <w:t>插入CA锁，输入密码，点击“解密”按钮；</w:t>
      </w:r>
    </w:p>
    <w:p>
      <w:pPr>
        <w:ind w:firstLine="0" w:firstLineChars="0"/>
      </w:pPr>
      <w:r>
        <w:drawing>
          <wp:inline distT="0" distB="0" distL="114300" distR="114300">
            <wp:extent cx="5236210" cy="3041015"/>
            <wp:effectExtent l="0" t="0" r="2540" b="6985"/>
            <wp:docPr id="9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36210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1925" cy="3169285"/>
            <wp:effectExtent l="0" t="0" r="15875" b="12065"/>
            <wp:docPr id="9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41925" cy="316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</w:pPr>
      <w:r>
        <w:rPr>
          <w:rFonts w:hint="eastAsia"/>
        </w:rPr>
        <w:t>解密成功之后点击“确定”按钮进行下一步；如果解密失败，点击“重试”重新解密；</w:t>
      </w:r>
    </w:p>
    <w:p>
      <w:pPr>
        <w:ind w:firstLine="0" w:firstLineChars="0"/>
      </w:pPr>
      <w:r>
        <w:drawing>
          <wp:inline distT="0" distB="0" distL="0" distR="0">
            <wp:extent cx="5248910" cy="2672080"/>
            <wp:effectExtent l="19050" t="0" r="8890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72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72" w:name="_Toc22877"/>
      <w:r>
        <w:rPr>
          <w:rFonts w:hint="eastAsia"/>
        </w:rPr>
        <w:t>批量导入</w:t>
      </w:r>
      <w:bookmarkEnd w:id="72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批量导入文件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招标人解密成功</w:t>
      </w:r>
      <w:r>
        <w:rPr>
          <w:bCs/>
        </w:rP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13"/>
        </w:numPr>
      </w:pPr>
      <w:r>
        <w:rPr>
          <w:rFonts w:hint="eastAsia"/>
        </w:rPr>
        <w:t>点击“批量导入”按钮；</w:t>
      </w:r>
    </w:p>
    <w:p>
      <w:pPr>
        <w:ind w:firstLine="0" w:firstLineChars="0"/>
      </w:pPr>
      <w:r>
        <w:drawing>
          <wp:inline distT="0" distB="0" distL="0" distR="0">
            <wp:extent cx="5248910" cy="2695575"/>
            <wp:effectExtent l="19050" t="0" r="889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95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48910" cy="2725420"/>
            <wp:effectExtent l="19050" t="0" r="889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726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3"/>
        </w:numPr>
      </w:pPr>
      <w:r>
        <w:rPr>
          <w:rFonts w:hint="eastAsia"/>
        </w:rPr>
        <w:t>批量导入成功之后，点击“确认”按钮进行下一步；如果导入失败，可点击“重试”重新导入；</w:t>
      </w:r>
    </w:p>
    <w:p>
      <w:pPr>
        <w:ind w:firstLine="0" w:firstLineChars="0"/>
      </w:pPr>
      <w:r>
        <w:drawing>
          <wp:inline distT="0" distB="0" distL="114300" distR="114300">
            <wp:extent cx="5245100" cy="2948305"/>
            <wp:effectExtent l="0" t="0" r="0" b="0"/>
            <wp:docPr id="4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73" w:name="_Toc28297"/>
      <w:r>
        <w:rPr>
          <w:rFonts w:hint="eastAsia"/>
        </w:rPr>
        <w:t>唱标</w:t>
      </w:r>
      <w:bookmarkEnd w:id="73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唱标</w:t>
      </w:r>
      <w:r>
        <w:rPr>
          <w:bCs/>
        </w:rPr>
        <w:t>。</w:t>
      </w:r>
    </w:p>
    <w:p>
      <w:pPr>
        <w:ind w:firstLine="422"/>
        <w:rPr>
          <w:rFonts w:hint="default" w:eastAsia="宋体"/>
          <w:lang w:val="en-US" w:eastAsia="zh-CN"/>
        </w:rPr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批量导入完成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14"/>
        </w:numPr>
      </w:pPr>
      <w:r>
        <w:rPr>
          <w:rFonts w:hint="eastAsia"/>
        </w:rPr>
        <w:t>点击“开标结束”按钮，结束开标；</w:t>
      </w:r>
    </w:p>
    <w:p>
      <w:pPr>
        <w:ind w:firstLine="0" w:firstLineChars="0"/>
      </w:pPr>
      <w:r>
        <w:drawing>
          <wp:inline distT="0" distB="0" distL="114300" distR="114300">
            <wp:extent cx="5247640" cy="2948305"/>
            <wp:effectExtent l="0" t="0" r="10160" b="4445"/>
            <wp:docPr id="9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1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ind w:firstLine="424" w:firstLineChars="202"/>
        <w:jc w:val="both"/>
      </w:pPr>
    </w:p>
    <w:p>
      <w:pPr>
        <w:ind w:firstLine="424" w:firstLineChars="202"/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、</w:t>
      </w:r>
    </w:p>
    <w:p>
      <w:pPr>
        <w:ind w:firstLine="424" w:firstLineChars="202"/>
        <w:jc w:val="both"/>
        <w:rPr>
          <w:rFonts w:hint="eastAsia"/>
          <w:lang w:eastAsia="zh-CN"/>
        </w:rPr>
      </w:pPr>
    </w:p>
    <w:p>
      <w:pPr>
        <w:pStyle w:val="3"/>
      </w:pPr>
      <w:bookmarkStart w:id="74" w:name="_Toc29625"/>
      <w:bookmarkStart w:id="75" w:name="_Toc20043"/>
      <w:r>
        <w:rPr>
          <w:rFonts w:hint="eastAsia"/>
          <w:lang w:val="en-US" w:eastAsia="zh-CN"/>
        </w:rPr>
        <w:t>开标结束</w:t>
      </w:r>
      <w:bookmarkEnd w:id="74"/>
      <w:bookmarkEnd w:id="75"/>
    </w:p>
    <w:p>
      <w:pPr>
        <w:ind w:firstLine="422"/>
        <w:rPr>
          <w:b w:val="0"/>
          <w:bCs/>
        </w:rPr>
      </w:pPr>
      <w:r>
        <w:rPr>
          <w:b/>
          <w:bCs w:val="0"/>
        </w:rPr>
        <w:t>功能说明：</w:t>
      </w:r>
      <w:r>
        <w:rPr>
          <w:rFonts w:hint="eastAsia"/>
          <w:b w:val="0"/>
          <w:bCs/>
          <w:lang w:val="en-US" w:eastAsia="zh-CN"/>
        </w:rPr>
        <w:t>开标结束</w:t>
      </w:r>
      <w:r>
        <w:rPr>
          <w:b w:val="0"/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唱标结束</w:t>
      </w:r>
      <w:r>
        <w:rPr>
          <w:b w:val="0"/>
          <w:bCs/>
        </w:rPr>
        <w:t>。</w:t>
      </w:r>
    </w:p>
    <w:p>
      <w:pPr>
        <w:numPr>
          <w:ilvl w:val="0"/>
          <w:numId w:val="0"/>
        </w:numPr>
        <w:ind w:firstLine="422" w:firstLineChars="200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15"/>
        </w:numPr>
        <w:ind w:firstLine="420" w:firstLineChars="20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开标结束之后，页面有“开标记录表”按钮，点击可打印开标记录表；</w:t>
      </w:r>
    </w:p>
    <w:p>
      <w:pPr>
        <w:numPr>
          <w:ilvl w:val="0"/>
          <w:numId w:val="0"/>
        </w:numPr>
        <w:rPr>
          <w:rFonts w:hint="eastAsia"/>
          <w:b w:val="0"/>
          <w:bCs w:val="0"/>
          <w:lang w:val="en-US" w:eastAsia="zh-CN"/>
        </w:rPr>
      </w:pPr>
      <w:r>
        <w:drawing>
          <wp:inline distT="0" distB="0" distL="114300" distR="114300">
            <wp:extent cx="5245100" cy="3134360"/>
            <wp:effectExtent l="0" t="0" r="12700" b="8890"/>
            <wp:docPr id="9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7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313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7005" cy="3228975"/>
            <wp:effectExtent l="0" t="0" r="10795" b="9525"/>
            <wp:docPr id="9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8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pStyle w:val="3"/>
      </w:pPr>
      <w:bookmarkStart w:id="76" w:name="_Toc4196"/>
      <w:r>
        <w:rPr>
          <w:rFonts w:hint="eastAsia"/>
        </w:rPr>
        <w:t>系数</w:t>
      </w:r>
      <w:r>
        <w:rPr>
          <w:rFonts w:hint="eastAsia"/>
          <w:lang w:val="en-US" w:eastAsia="zh-CN"/>
        </w:rPr>
        <w:t>录入（含系数抽取的项目）</w:t>
      </w:r>
      <w:bookmarkEnd w:id="76"/>
    </w:p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注意：</w:t>
      </w:r>
    </w:p>
    <w:p>
      <w:pPr>
        <w:numPr>
          <w:ilvl w:val="0"/>
          <w:numId w:val="0"/>
        </w:numPr>
        <w:ind w:left="420" w:leftChars="200" w:firstLine="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1.针对部分评标办法含系数抽取的项目，开标结束后会有直播现场摇号抽取，在线录入抽取系数环节；</w:t>
      </w:r>
    </w:p>
    <w:p>
      <w:pPr>
        <w:numPr>
          <w:ilvl w:val="0"/>
          <w:numId w:val="0"/>
        </w:numPr>
        <w:ind w:firstLine="420" w:firstLineChars="2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2.主持人必须开启直播视频；</w:t>
      </w:r>
    </w:p>
    <w:p>
      <w:pPr>
        <w:numPr>
          <w:ilvl w:val="0"/>
          <w:numId w:val="0"/>
        </w:numPr>
        <w:ind w:firstLine="420" w:firstLineChars="2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3.主持人需仔细确认输入的数字和现场摇号的结果是否一致，一旦录入将无法修改；</w:t>
      </w:r>
    </w:p>
    <w:p>
      <w:pPr>
        <w:rPr>
          <w:rFonts w:hint="eastAsia"/>
          <w:lang w:val="en-US" w:eastAsia="zh-CN"/>
        </w:rPr>
      </w:pPr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系数</w:t>
      </w:r>
      <w:r>
        <w:rPr>
          <w:rFonts w:hint="eastAsia"/>
          <w:bCs/>
          <w:lang w:val="en-US" w:eastAsia="zh-CN"/>
        </w:rPr>
        <w:t>录入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开标结束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16"/>
        </w:numPr>
        <w:ind w:firstLineChars="0"/>
      </w:pPr>
      <w:r>
        <w:rPr>
          <w:rFonts w:hint="eastAsia"/>
        </w:rPr>
        <w:t>在开标现场规定位置进行摇号抽取系数，并在摄像投下清楚展示出抽取的系数。</w:t>
      </w:r>
    </w:p>
    <w:p>
      <w:pPr>
        <w:numPr>
          <w:ilvl w:val="0"/>
          <w:numId w:val="16"/>
        </w:numPr>
        <w:ind w:firstLineChars="0"/>
      </w:pPr>
      <w:r>
        <w:rPr>
          <w:rFonts w:hint="eastAsia"/>
        </w:rPr>
        <w:t>将抽取出的系数录入系统</w:t>
      </w:r>
    </w:p>
    <w:p>
      <w:pPr>
        <w:numPr>
          <w:numId w:val="0"/>
        </w:numPr>
      </w:pPr>
      <w:r>
        <w:drawing>
          <wp:inline distT="0" distB="0" distL="114300" distR="114300">
            <wp:extent cx="5240020" cy="3157220"/>
            <wp:effectExtent l="0" t="0" r="17780" b="5080"/>
            <wp:docPr id="9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ind w:firstLineChars="0"/>
        <w:rPr>
          <w:b/>
          <w:bCs/>
          <w:color w:val="FF0000"/>
          <w:sz w:val="44"/>
          <w:szCs w:val="44"/>
        </w:rPr>
      </w:pPr>
      <w:r>
        <w:rPr>
          <w:rFonts w:hint="eastAsia"/>
          <w:b/>
          <w:bCs/>
          <w:color w:val="FF0000"/>
          <w:sz w:val="44"/>
          <w:szCs w:val="44"/>
          <w:lang w:val="en-US" w:eastAsia="zh-CN"/>
        </w:rPr>
        <w:t>抽取系数结束后，一定要关闭直播！！！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41290" cy="3283585"/>
            <wp:effectExtent l="0" t="0" r="16510" b="12065"/>
            <wp:docPr id="10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77" w:name="_Toc10351"/>
      <w:r>
        <w:rPr>
          <w:rFonts w:hint="eastAsia"/>
        </w:rPr>
        <w:t>异议</w:t>
      </w:r>
      <w:bookmarkEnd w:id="77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投标人在开标过程中可以通过文字提问给主持人提问，主持人回答</w:t>
      </w:r>
      <w:r>
        <w:rPr>
          <w:bCs/>
        </w:rPr>
        <w:t>。</w:t>
      </w:r>
    </w:p>
    <w:p>
      <w:pPr>
        <w:ind w:firstLine="422"/>
        <w:rPr>
          <w:rFonts w:hint="default" w:eastAsia="宋体"/>
          <w:bCs/>
          <w:lang w:val="en-US" w:eastAsia="zh-CN"/>
        </w:rPr>
      </w:pPr>
      <w:r>
        <w:rPr>
          <w:b/>
        </w:rPr>
        <w:t>前置条件：</w:t>
      </w:r>
      <w:r>
        <w:rPr>
          <w:rFonts w:hint="eastAsia"/>
          <w:b w:val="0"/>
          <w:bCs/>
          <w:lang w:val="en-US" w:eastAsia="zh-CN"/>
        </w:rPr>
        <w:t>公布投标人之后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0"/>
        </w:numPr>
        <w:ind w:firstLine="420" w:firstLineChars="200"/>
        <w:rPr>
          <w:rFonts w:hint="default" w:eastAsia="宋体"/>
          <w:lang w:val="en-US" w:eastAsia="zh-CN"/>
        </w:rPr>
      </w:pPr>
      <w:r>
        <w:rPr>
          <w:rFonts w:hint="eastAsia"/>
        </w:rPr>
        <w:t>投标人发起异议之后，</w:t>
      </w:r>
      <w:r>
        <w:rPr>
          <w:rFonts w:hint="eastAsia"/>
          <w:lang w:val="en-US" w:eastAsia="zh-CN"/>
        </w:rPr>
        <w:t>右下角异议答复</w:t>
      </w:r>
      <w:r>
        <w:rPr>
          <w:rFonts w:hint="eastAsia"/>
        </w:rPr>
        <w:t>，点击可查看异议信息；</w:t>
      </w:r>
      <w:r>
        <w:rPr>
          <w:rFonts w:hint="eastAsia"/>
          <w:lang w:val="en-US" w:eastAsia="zh-CN"/>
        </w:rPr>
        <w:t>并进行回复，</w:t>
      </w:r>
      <w:bookmarkStart w:id="78" w:name="_GoBack"/>
      <w:r>
        <w:rPr>
          <w:rFonts w:hint="eastAsia"/>
          <w:lang w:val="en-US" w:eastAsia="zh-CN"/>
        </w:rPr>
        <w:t>回复完成，可在已回复状态栏查看。</w:t>
      </w:r>
    </w:p>
    <w:bookmarkEnd w:id="78"/>
    <w:p>
      <w:pPr>
        <w:ind w:firstLine="0" w:firstLineChars="0"/>
        <w:jc w:val="both"/>
      </w:pPr>
      <w:r>
        <w:drawing>
          <wp:inline distT="0" distB="0" distL="114300" distR="114300">
            <wp:extent cx="5234940" cy="3056890"/>
            <wp:effectExtent l="0" t="0" r="3810" b="10160"/>
            <wp:docPr id="9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305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240" w:lineRule="auto"/>
        <w:ind w:firstLine="0" w:firstLineChars="0"/>
      </w:pPr>
      <w:r>
        <w:drawing>
          <wp:inline distT="0" distB="0" distL="114300" distR="114300">
            <wp:extent cx="5243830" cy="3228975"/>
            <wp:effectExtent l="0" t="0" r="13970" b="952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843" w:header="454" w:footer="680" w:gutter="0"/>
      <w:pgNumType w:fmt="decimal" w:start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pBdr>
        <w:top w:val="single" w:color="9BBB59" w:sz="24" w:space="5"/>
      </w:pBdr>
      <w:wordWrap w:val="0"/>
      <w:spacing w:line="240" w:lineRule="auto"/>
      <w:ind w:firstLine="360"/>
      <w:rPr>
        <w:lang w:val="zh-CN"/>
      </w:rPr>
    </w:pPr>
    <w:r>
      <w:rPr>
        <w:rFonts w:hint="eastAsia"/>
        <w:lang w:val="zh-CN"/>
      </w:rPr>
      <w:t>江苏国泰新点软件有限公司4009980000</w: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0" name="文本框 1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xKKDZd0CAAAo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32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  <w:r>
      <w:rPr>
        <w:rFonts w:hint="eastAsia"/>
        <w:lang w:val="zh-CN"/>
      </w:rPr>
      <w:t>江苏国泰新点软件有限公司4009980000</w: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1" name="文本框 1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0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+xvYM90CAAAo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0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32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bottom w:val="thickThinSmallGap" w:color="622423" w:sz="24" w:space="1"/>
      </w:pBdr>
      <w:spacing w:line="240" w:lineRule="auto"/>
      <w:ind w:firstLine="0" w:firstLineChars="0"/>
      <w:jc w:val="left"/>
      <w:rPr>
        <w:color w:val="000000"/>
      </w:rPr>
    </w:pPr>
    <w:r>
      <w:rPr>
        <w:rFonts w:ascii="宋体" w:hAnsi="宋体"/>
      </w:rPr>
      <w:drawing>
        <wp:inline distT="0" distB="0" distL="114300" distR="114300">
          <wp:extent cx="600075" cy="307340"/>
          <wp:effectExtent l="0" t="0" r="0" b="0"/>
          <wp:docPr id="44" name="图片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图片 20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0075" cy="307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Cambria" w:hAnsi="Cambria"/>
      </w:rPr>
      <w:t xml:space="preserve">操作手册     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722D77A"/>
    <w:multiLevelType w:val="singleLevel"/>
    <w:tmpl w:val="8722D77A"/>
    <w:lvl w:ilvl="0" w:tentative="0">
      <w:start w:val="1"/>
      <w:numFmt w:val="decimal"/>
      <w:suff w:val="space"/>
      <w:lvlText w:val="%1、"/>
      <w:lvlJc w:val="left"/>
    </w:lvl>
  </w:abstractNum>
  <w:abstractNum w:abstractNumId="1">
    <w:nsid w:val="B7987D18"/>
    <w:multiLevelType w:val="singleLevel"/>
    <w:tmpl w:val="B7987D18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B8CF6A8C"/>
    <w:multiLevelType w:val="singleLevel"/>
    <w:tmpl w:val="B8CF6A8C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BE14EF26"/>
    <w:multiLevelType w:val="singleLevel"/>
    <w:tmpl w:val="BE14EF26"/>
    <w:lvl w:ilvl="0" w:tentative="0">
      <w:start w:val="2"/>
      <w:numFmt w:val="decimal"/>
      <w:suff w:val="nothing"/>
      <w:lvlText w:val="%1、"/>
      <w:lvlJc w:val="left"/>
    </w:lvl>
  </w:abstractNum>
  <w:abstractNum w:abstractNumId="4">
    <w:nsid w:val="C3D70D57"/>
    <w:multiLevelType w:val="singleLevel"/>
    <w:tmpl w:val="C3D70D57"/>
    <w:lvl w:ilvl="0" w:tentative="0">
      <w:start w:val="1"/>
      <w:numFmt w:val="decimal"/>
      <w:suff w:val="space"/>
      <w:lvlText w:val="%1、"/>
      <w:lvlJc w:val="left"/>
    </w:lvl>
  </w:abstractNum>
  <w:abstractNum w:abstractNumId="5">
    <w:nsid w:val="D75E355F"/>
    <w:multiLevelType w:val="singleLevel"/>
    <w:tmpl w:val="D75E355F"/>
    <w:lvl w:ilvl="0" w:tentative="0">
      <w:start w:val="1"/>
      <w:numFmt w:val="decimal"/>
      <w:suff w:val="space"/>
      <w:lvlText w:val="%1、"/>
      <w:lvlJc w:val="left"/>
    </w:lvl>
  </w:abstractNum>
  <w:abstractNum w:abstractNumId="6">
    <w:nsid w:val="D8CE73A6"/>
    <w:multiLevelType w:val="singleLevel"/>
    <w:tmpl w:val="D8CE73A6"/>
    <w:lvl w:ilvl="0" w:tentative="0">
      <w:start w:val="1"/>
      <w:numFmt w:val="decimal"/>
      <w:suff w:val="space"/>
      <w:lvlText w:val="%1、"/>
      <w:lvlJc w:val="left"/>
    </w:lvl>
  </w:abstractNum>
  <w:abstractNum w:abstractNumId="7">
    <w:nsid w:val="E679E1E5"/>
    <w:multiLevelType w:val="singleLevel"/>
    <w:tmpl w:val="E679E1E5"/>
    <w:lvl w:ilvl="0" w:tentative="0">
      <w:start w:val="1"/>
      <w:numFmt w:val="decimal"/>
      <w:suff w:val="nothing"/>
      <w:lvlText w:val="%1、"/>
      <w:lvlJc w:val="left"/>
    </w:lvl>
  </w:abstractNum>
  <w:abstractNum w:abstractNumId="8">
    <w:nsid w:val="01C6927D"/>
    <w:multiLevelType w:val="singleLevel"/>
    <w:tmpl w:val="01C6927D"/>
    <w:lvl w:ilvl="0" w:tentative="0">
      <w:start w:val="1"/>
      <w:numFmt w:val="decimal"/>
      <w:suff w:val="space"/>
      <w:lvlText w:val="%1、"/>
      <w:lvlJc w:val="left"/>
    </w:lvl>
  </w:abstractNum>
  <w:abstractNum w:abstractNumId="9">
    <w:nsid w:val="1B180A97"/>
    <w:multiLevelType w:val="singleLevel"/>
    <w:tmpl w:val="1B180A97"/>
    <w:lvl w:ilvl="0" w:tentative="0">
      <w:start w:val="1"/>
      <w:numFmt w:val="decimal"/>
      <w:suff w:val="nothing"/>
      <w:lvlText w:val="%1、"/>
      <w:lvlJc w:val="left"/>
    </w:lvl>
  </w:abstractNum>
  <w:abstractNum w:abstractNumId="10">
    <w:nsid w:val="1F330196"/>
    <w:multiLevelType w:val="singleLevel"/>
    <w:tmpl w:val="1F330196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1">
    <w:nsid w:val="4E6D15E7"/>
    <w:multiLevelType w:val="singleLevel"/>
    <w:tmpl w:val="4E6D15E7"/>
    <w:lvl w:ilvl="0" w:tentative="0">
      <w:start w:val="1"/>
      <w:numFmt w:val="decimal"/>
      <w:suff w:val="space"/>
      <w:lvlText w:val="%1、"/>
      <w:lvlJc w:val="left"/>
    </w:lvl>
  </w:abstractNum>
  <w:abstractNum w:abstractNumId="12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firstLine="0"/>
      </w:pPr>
      <w:rPr>
        <w:rFonts w:hint="eastAsia"/>
        <w:b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13">
    <w:nsid w:val="68EE3402"/>
    <w:multiLevelType w:val="multilevel"/>
    <w:tmpl w:val="68EE3402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4">
    <w:nsid w:val="69D43B4D"/>
    <w:multiLevelType w:val="singleLevel"/>
    <w:tmpl w:val="69D43B4D"/>
    <w:lvl w:ilvl="0" w:tentative="0">
      <w:start w:val="1"/>
      <w:numFmt w:val="decimal"/>
      <w:suff w:val="space"/>
      <w:lvlText w:val="%1、"/>
      <w:lvlJc w:val="left"/>
    </w:lvl>
  </w:abstractNum>
  <w:abstractNum w:abstractNumId="15">
    <w:nsid w:val="75520C11"/>
    <w:multiLevelType w:val="singleLevel"/>
    <w:tmpl w:val="75520C11"/>
    <w:lvl w:ilvl="0" w:tentative="0">
      <w:start w:val="1"/>
      <w:numFmt w:val="decimal"/>
      <w:suff w:val="space"/>
      <w:lvlText w:val="%1、"/>
      <w:lvlJc w:val="left"/>
    </w:lvl>
  </w:abstractNum>
  <w:num w:numId="1">
    <w:abstractNumId w:val="12"/>
  </w:num>
  <w:num w:numId="2">
    <w:abstractNumId w:val="7"/>
  </w:num>
  <w:num w:numId="3">
    <w:abstractNumId w:val="3"/>
  </w:num>
  <w:num w:numId="4">
    <w:abstractNumId w:val="1"/>
  </w:num>
  <w:num w:numId="5">
    <w:abstractNumId w:val="9"/>
  </w:num>
  <w:num w:numId="6">
    <w:abstractNumId w:val="2"/>
  </w:num>
  <w:num w:numId="7">
    <w:abstractNumId w:val="10"/>
  </w:num>
  <w:num w:numId="8">
    <w:abstractNumId w:val="4"/>
  </w:num>
  <w:num w:numId="9">
    <w:abstractNumId w:val="6"/>
  </w:num>
  <w:num w:numId="10">
    <w:abstractNumId w:val="5"/>
  </w:num>
  <w:num w:numId="11">
    <w:abstractNumId w:val="11"/>
  </w:num>
  <w:num w:numId="12">
    <w:abstractNumId w:val="14"/>
  </w:num>
  <w:num w:numId="13">
    <w:abstractNumId w:val="0"/>
  </w:num>
  <w:num w:numId="14">
    <w:abstractNumId w:val="15"/>
  </w:num>
  <w:num w:numId="15">
    <w:abstractNumId w:val="8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normal"/>
  <w:zoom w:percent="140"/>
  <w:bordersDoNotSurroundHeader w:val="1"/>
  <w:bordersDoNotSurroundFooter w:val="1"/>
  <w:doNotTrackMoves/>
  <w:documentProtection w:enforcement="0"/>
  <w:defaultTabStop w:val="50"/>
  <w:drawingGridHorizontalSpacing w:val="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NkZTI5YmM1ZTQzNTBjNDFiMTg0ZmEyMjk0MjYzMmUifQ=="/>
  </w:docVars>
  <w:rsids>
    <w:rsidRoot w:val="007405F0"/>
    <w:rsid w:val="00043FEA"/>
    <w:rsid w:val="00095303"/>
    <w:rsid w:val="000B6A1B"/>
    <w:rsid w:val="00176458"/>
    <w:rsid w:val="001C36D5"/>
    <w:rsid w:val="001E73B4"/>
    <w:rsid w:val="002047F8"/>
    <w:rsid w:val="00260726"/>
    <w:rsid w:val="0026451B"/>
    <w:rsid w:val="002F7C53"/>
    <w:rsid w:val="0032495E"/>
    <w:rsid w:val="003618CF"/>
    <w:rsid w:val="00362EBF"/>
    <w:rsid w:val="003A390D"/>
    <w:rsid w:val="00427C84"/>
    <w:rsid w:val="00440F12"/>
    <w:rsid w:val="00540A2B"/>
    <w:rsid w:val="00546561"/>
    <w:rsid w:val="00557842"/>
    <w:rsid w:val="00570D64"/>
    <w:rsid w:val="00585EDB"/>
    <w:rsid w:val="005A459E"/>
    <w:rsid w:val="005E2B5F"/>
    <w:rsid w:val="006675A9"/>
    <w:rsid w:val="006927A0"/>
    <w:rsid w:val="006B04B7"/>
    <w:rsid w:val="006B060D"/>
    <w:rsid w:val="006C0E3E"/>
    <w:rsid w:val="006D5292"/>
    <w:rsid w:val="006D5EA0"/>
    <w:rsid w:val="006F47A6"/>
    <w:rsid w:val="00714CEC"/>
    <w:rsid w:val="007405F0"/>
    <w:rsid w:val="00784BE0"/>
    <w:rsid w:val="0079118A"/>
    <w:rsid w:val="007A1033"/>
    <w:rsid w:val="00825990"/>
    <w:rsid w:val="008766F0"/>
    <w:rsid w:val="008F06B1"/>
    <w:rsid w:val="009002F7"/>
    <w:rsid w:val="0091791F"/>
    <w:rsid w:val="009769BC"/>
    <w:rsid w:val="00A367AF"/>
    <w:rsid w:val="00B27A54"/>
    <w:rsid w:val="00B37FE9"/>
    <w:rsid w:val="00B55F64"/>
    <w:rsid w:val="00B734BE"/>
    <w:rsid w:val="00B81613"/>
    <w:rsid w:val="00B819F6"/>
    <w:rsid w:val="00B84845"/>
    <w:rsid w:val="00C00700"/>
    <w:rsid w:val="00C30A21"/>
    <w:rsid w:val="00C46424"/>
    <w:rsid w:val="00CA73A0"/>
    <w:rsid w:val="00CC6939"/>
    <w:rsid w:val="00CD3ED7"/>
    <w:rsid w:val="00CD7EB6"/>
    <w:rsid w:val="00D271CE"/>
    <w:rsid w:val="00D34E99"/>
    <w:rsid w:val="00DC406A"/>
    <w:rsid w:val="00E102C1"/>
    <w:rsid w:val="00E643FD"/>
    <w:rsid w:val="00EE046A"/>
    <w:rsid w:val="00F97DCA"/>
    <w:rsid w:val="00FB23EB"/>
    <w:rsid w:val="00FE342E"/>
    <w:rsid w:val="01501D76"/>
    <w:rsid w:val="01C223F2"/>
    <w:rsid w:val="02D74B05"/>
    <w:rsid w:val="03406500"/>
    <w:rsid w:val="03B2479A"/>
    <w:rsid w:val="03E62F94"/>
    <w:rsid w:val="04430D42"/>
    <w:rsid w:val="04927028"/>
    <w:rsid w:val="0561330F"/>
    <w:rsid w:val="05955A20"/>
    <w:rsid w:val="05DE3AA7"/>
    <w:rsid w:val="084A1DD2"/>
    <w:rsid w:val="08E27D6A"/>
    <w:rsid w:val="09034472"/>
    <w:rsid w:val="093023EA"/>
    <w:rsid w:val="093F3FE8"/>
    <w:rsid w:val="09BB007A"/>
    <w:rsid w:val="0A321F79"/>
    <w:rsid w:val="0A452234"/>
    <w:rsid w:val="0A7B623C"/>
    <w:rsid w:val="0B8003DA"/>
    <w:rsid w:val="0DAA67E0"/>
    <w:rsid w:val="0DB374A3"/>
    <w:rsid w:val="0E921349"/>
    <w:rsid w:val="0EB43ECA"/>
    <w:rsid w:val="0EFF57B8"/>
    <w:rsid w:val="0F014CA6"/>
    <w:rsid w:val="0F7D2167"/>
    <w:rsid w:val="0FA1169D"/>
    <w:rsid w:val="0FA57E31"/>
    <w:rsid w:val="0FBC7476"/>
    <w:rsid w:val="106C72A8"/>
    <w:rsid w:val="11622737"/>
    <w:rsid w:val="116A3832"/>
    <w:rsid w:val="11765F75"/>
    <w:rsid w:val="144D0D6A"/>
    <w:rsid w:val="144F0B18"/>
    <w:rsid w:val="14CC0DE0"/>
    <w:rsid w:val="15390ADE"/>
    <w:rsid w:val="154934C9"/>
    <w:rsid w:val="156061B7"/>
    <w:rsid w:val="156E27C7"/>
    <w:rsid w:val="1623023D"/>
    <w:rsid w:val="1633757E"/>
    <w:rsid w:val="16A909BC"/>
    <w:rsid w:val="176D2DE2"/>
    <w:rsid w:val="17C3657D"/>
    <w:rsid w:val="17DD67C8"/>
    <w:rsid w:val="185B6189"/>
    <w:rsid w:val="19117922"/>
    <w:rsid w:val="193442BB"/>
    <w:rsid w:val="19FD7F67"/>
    <w:rsid w:val="1A9F777C"/>
    <w:rsid w:val="1C1F6FB6"/>
    <w:rsid w:val="1C8521BB"/>
    <w:rsid w:val="1CAC0007"/>
    <w:rsid w:val="1CB02E44"/>
    <w:rsid w:val="1CC239AC"/>
    <w:rsid w:val="1D68655D"/>
    <w:rsid w:val="1D726CE7"/>
    <w:rsid w:val="1D8D7E20"/>
    <w:rsid w:val="1DD8285D"/>
    <w:rsid w:val="1DDE529B"/>
    <w:rsid w:val="1E3D12AC"/>
    <w:rsid w:val="1EFA7CCA"/>
    <w:rsid w:val="1EFB2F43"/>
    <w:rsid w:val="21033B60"/>
    <w:rsid w:val="21305109"/>
    <w:rsid w:val="215E4706"/>
    <w:rsid w:val="23A37E20"/>
    <w:rsid w:val="24965FC8"/>
    <w:rsid w:val="249D6420"/>
    <w:rsid w:val="24CF0EED"/>
    <w:rsid w:val="24FF38B5"/>
    <w:rsid w:val="250E2C93"/>
    <w:rsid w:val="256D5F98"/>
    <w:rsid w:val="26253AEA"/>
    <w:rsid w:val="263D665E"/>
    <w:rsid w:val="26CD4921"/>
    <w:rsid w:val="26CF7759"/>
    <w:rsid w:val="272C5632"/>
    <w:rsid w:val="278358C9"/>
    <w:rsid w:val="286306AA"/>
    <w:rsid w:val="292F07E9"/>
    <w:rsid w:val="29E00042"/>
    <w:rsid w:val="2A061B5F"/>
    <w:rsid w:val="2C896F9D"/>
    <w:rsid w:val="2C8A1799"/>
    <w:rsid w:val="2D0F6111"/>
    <w:rsid w:val="2EB610E9"/>
    <w:rsid w:val="2FB6565B"/>
    <w:rsid w:val="303E16CD"/>
    <w:rsid w:val="304A5464"/>
    <w:rsid w:val="308A3A5B"/>
    <w:rsid w:val="315849CF"/>
    <w:rsid w:val="32A3062C"/>
    <w:rsid w:val="32A50445"/>
    <w:rsid w:val="32AD1AD9"/>
    <w:rsid w:val="34880F4C"/>
    <w:rsid w:val="34A404A1"/>
    <w:rsid w:val="34F74A62"/>
    <w:rsid w:val="36396C17"/>
    <w:rsid w:val="366342BF"/>
    <w:rsid w:val="366E08AA"/>
    <w:rsid w:val="37A95B14"/>
    <w:rsid w:val="38886DCA"/>
    <w:rsid w:val="38FA5A72"/>
    <w:rsid w:val="39491067"/>
    <w:rsid w:val="39AC528E"/>
    <w:rsid w:val="3A15504C"/>
    <w:rsid w:val="3B0009D7"/>
    <w:rsid w:val="3BCD1363"/>
    <w:rsid w:val="3C5022B9"/>
    <w:rsid w:val="3CF768D1"/>
    <w:rsid w:val="3D3925B7"/>
    <w:rsid w:val="3D3A70F6"/>
    <w:rsid w:val="3E206C64"/>
    <w:rsid w:val="3E3B66E2"/>
    <w:rsid w:val="3EAE6B1F"/>
    <w:rsid w:val="40B35F7F"/>
    <w:rsid w:val="40D60A8C"/>
    <w:rsid w:val="40F12D92"/>
    <w:rsid w:val="41024195"/>
    <w:rsid w:val="417C7805"/>
    <w:rsid w:val="419D3557"/>
    <w:rsid w:val="42D41C51"/>
    <w:rsid w:val="43286ED3"/>
    <w:rsid w:val="43570169"/>
    <w:rsid w:val="43D37591"/>
    <w:rsid w:val="43D83A6A"/>
    <w:rsid w:val="44480B57"/>
    <w:rsid w:val="44E223AB"/>
    <w:rsid w:val="450A3A5E"/>
    <w:rsid w:val="45ED6B6F"/>
    <w:rsid w:val="460005BB"/>
    <w:rsid w:val="46A2233C"/>
    <w:rsid w:val="47217935"/>
    <w:rsid w:val="478F1F05"/>
    <w:rsid w:val="488829C2"/>
    <w:rsid w:val="48D845AE"/>
    <w:rsid w:val="49C67347"/>
    <w:rsid w:val="4A2B750B"/>
    <w:rsid w:val="4AB06A05"/>
    <w:rsid w:val="4B397D97"/>
    <w:rsid w:val="4BCC5890"/>
    <w:rsid w:val="4BCF058F"/>
    <w:rsid w:val="4D3D1623"/>
    <w:rsid w:val="4E651D1A"/>
    <w:rsid w:val="4E775013"/>
    <w:rsid w:val="4EFE34D9"/>
    <w:rsid w:val="4F3F1C24"/>
    <w:rsid w:val="4F96663D"/>
    <w:rsid w:val="4FF776CD"/>
    <w:rsid w:val="525C180F"/>
    <w:rsid w:val="529E4A1C"/>
    <w:rsid w:val="52DB12D4"/>
    <w:rsid w:val="53351B4F"/>
    <w:rsid w:val="534F382F"/>
    <w:rsid w:val="54A45BCE"/>
    <w:rsid w:val="555B3BF4"/>
    <w:rsid w:val="55A1633A"/>
    <w:rsid w:val="55C114F6"/>
    <w:rsid w:val="57345B4E"/>
    <w:rsid w:val="57531D88"/>
    <w:rsid w:val="57775422"/>
    <w:rsid w:val="597E592B"/>
    <w:rsid w:val="5A5566F4"/>
    <w:rsid w:val="5A6E25B7"/>
    <w:rsid w:val="5ADD6D30"/>
    <w:rsid w:val="5B4B369F"/>
    <w:rsid w:val="5B8D2B67"/>
    <w:rsid w:val="5D670002"/>
    <w:rsid w:val="5D846725"/>
    <w:rsid w:val="5DC05EB0"/>
    <w:rsid w:val="5E351DB9"/>
    <w:rsid w:val="5E797281"/>
    <w:rsid w:val="5EA622B6"/>
    <w:rsid w:val="5F9D56AB"/>
    <w:rsid w:val="61104DB0"/>
    <w:rsid w:val="612A5313"/>
    <w:rsid w:val="616001B6"/>
    <w:rsid w:val="61971200"/>
    <w:rsid w:val="62526C28"/>
    <w:rsid w:val="63D6320E"/>
    <w:rsid w:val="64825D21"/>
    <w:rsid w:val="65125B3C"/>
    <w:rsid w:val="66076E62"/>
    <w:rsid w:val="662D3489"/>
    <w:rsid w:val="66CF42EB"/>
    <w:rsid w:val="689059FA"/>
    <w:rsid w:val="69343784"/>
    <w:rsid w:val="699157C4"/>
    <w:rsid w:val="6AA25D69"/>
    <w:rsid w:val="6B3A6269"/>
    <w:rsid w:val="6BCC59CF"/>
    <w:rsid w:val="6CDF0597"/>
    <w:rsid w:val="6F201929"/>
    <w:rsid w:val="6F6159E8"/>
    <w:rsid w:val="70500FE2"/>
    <w:rsid w:val="71646722"/>
    <w:rsid w:val="71682DF0"/>
    <w:rsid w:val="7175680C"/>
    <w:rsid w:val="729057D5"/>
    <w:rsid w:val="73E129E9"/>
    <w:rsid w:val="7598064C"/>
    <w:rsid w:val="76040FB5"/>
    <w:rsid w:val="762615C7"/>
    <w:rsid w:val="764A42E8"/>
    <w:rsid w:val="76572DFC"/>
    <w:rsid w:val="76C164E2"/>
    <w:rsid w:val="77443FA1"/>
    <w:rsid w:val="77DD1D3F"/>
    <w:rsid w:val="7869124F"/>
    <w:rsid w:val="7A347448"/>
    <w:rsid w:val="7B4768CA"/>
    <w:rsid w:val="7BA63112"/>
    <w:rsid w:val="7BFB50D7"/>
    <w:rsid w:val="7C0539BE"/>
    <w:rsid w:val="7E347068"/>
    <w:rsid w:val="7EDB44D5"/>
    <w:rsid w:val="7F245991"/>
    <w:rsid w:val="7F3E32D6"/>
    <w:rsid w:val="7FF645C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iPriority="99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2"/>
    <w:autoRedefine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96"/>
    <w:autoRedefine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Chars="0"/>
      <w:jc w:val="both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97"/>
    <w:autoRedefine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5">
    <w:name w:val="heading 4"/>
    <w:basedOn w:val="1"/>
    <w:next w:val="1"/>
    <w:link w:val="106"/>
    <w:autoRedefine/>
    <w:qFormat/>
    <w:uiPriority w:val="0"/>
    <w:pPr>
      <w:keepNext/>
      <w:keepLines/>
      <w:tabs>
        <w:tab w:val="left" w:pos="504"/>
      </w:tabs>
      <w:spacing w:before="120" w:after="120"/>
      <w:ind w:firstLine="0" w:firstLineChars="0"/>
      <w:outlineLvl w:val="3"/>
    </w:pPr>
    <w:rPr>
      <w:rFonts w:hAnsi="Arial"/>
      <w:b/>
      <w:bCs/>
      <w:sz w:val="24"/>
      <w:szCs w:val="28"/>
    </w:rPr>
  </w:style>
  <w:style w:type="paragraph" w:styleId="6">
    <w:name w:val="heading 5"/>
    <w:basedOn w:val="1"/>
    <w:next w:val="1"/>
    <w:link w:val="85"/>
    <w:autoRedefine/>
    <w:qFormat/>
    <w:uiPriority w:val="0"/>
    <w:pPr>
      <w:keepNext/>
      <w:keepLines/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6"/>
    <w:next w:val="1"/>
    <w:link w:val="87"/>
    <w:autoRedefine/>
    <w:qFormat/>
    <w:uiPriority w:val="0"/>
    <w:p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8">
    <w:name w:val="heading 7"/>
    <w:basedOn w:val="7"/>
    <w:next w:val="1"/>
    <w:link w:val="89"/>
    <w:autoRedefine/>
    <w:qFormat/>
    <w:uiPriority w:val="0"/>
    <w:pPr>
      <w:tabs>
        <w:tab w:val="left" w:pos="1800"/>
        <w:tab w:val="clear" w:pos="1440"/>
      </w:tabs>
      <w:outlineLvl w:val="6"/>
    </w:pPr>
  </w:style>
  <w:style w:type="paragraph" w:styleId="9">
    <w:name w:val="heading 8"/>
    <w:basedOn w:val="8"/>
    <w:next w:val="1"/>
    <w:link w:val="90"/>
    <w:autoRedefine/>
    <w:qFormat/>
    <w:uiPriority w:val="0"/>
    <w:pPr>
      <w:outlineLvl w:val="7"/>
    </w:pPr>
  </w:style>
  <w:style w:type="paragraph" w:styleId="10">
    <w:name w:val="heading 9"/>
    <w:basedOn w:val="9"/>
    <w:next w:val="1"/>
    <w:link w:val="92"/>
    <w:autoRedefine/>
    <w:qFormat/>
    <w:uiPriority w:val="0"/>
    <w:pPr>
      <w:tabs>
        <w:tab w:val="left" w:pos="2160"/>
        <w:tab w:val="clear" w:pos="1800"/>
      </w:tabs>
      <w:outlineLvl w:val="8"/>
    </w:pPr>
  </w:style>
  <w:style w:type="character" w:default="1" w:styleId="42">
    <w:name w:val="Default Paragraph Font"/>
    <w:autoRedefine/>
    <w:semiHidden/>
    <w:unhideWhenUsed/>
    <w:qFormat/>
    <w:uiPriority w:val="1"/>
  </w:style>
  <w:style w:type="table" w:default="1" w:styleId="41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Calibri" w:hAnsi="Calibri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autoRedefine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2">
    <w:name w:val="List Number 2"/>
    <w:basedOn w:val="1"/>
    <w:autoRedefine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3">
    <w:name w:val="Normal Indent"/>
    <w:basedOn w:val="1"/>
    <w:autoRedefine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4">
    <w:name w:val="Document Map"/>
    <w:basedOn w:val="1"/>
    <w:link w:val="108"/>
    <w:autoRedefine/>
    <w:qFormat/>
    <w:uiPriority w:val="0"/>
    <w:rPr>
      <w:rFonts w:ascii="宋体"/>
      <w:sz w:val="18"/>
      <w:szCs w:val="18"/>
    </w:rPr>
  </w:style>
  <w:style w:type="paragraph" w:styleId="15">
    <w:name w:val="annotation text"/>
    <w:basedOn w:val="1"/>
    <w:link w:val="100"/>
    <w:autoRedefine/>
    <w:qFormat/>
    <w:uiPriority w:val="0"/>
  </w:style>
  <w:style w:type="paragraph" w:styleId="16">
    <w:name w:val="Body Text 3"/>
    <w:basedOn w:val="1"/>
    <w:link w:val="110"/>
    <w:autoRedefine/>
    <w:qFormat/>
    <w:uiPriority w:val="0"/>
    <w:pPr>
      <w:spacing w:after="120"/>
    </w:pPr>
    <w:rPr>
      <w:sz w:val="16"/>
      <w:szCs w:val="16"/>
    </w:rPr>
  </w:style>
  <w:style w:type="paragraph" w:styleId="17">
    <w:name w:val="Body Text"/>
    <w:basedOn w:val="1"/>
    <w:link w:val="104"/>
    <w:autoRedefine/>
    <w:qFormat/>
    <w:uiPriority w:val="0"/>
    <w:pPr>
      <w:spacing w:after="120"/>
    </w:pPr>
  </w:style>
  <w:style w:type="paragraph" w:styleId="18">
    <w:name w:val="Body Text Indent"/>
    <w:basedOn w:val="1"/>
    <w:link w:val="94"/>
    <w:autoRedefine/>
    <w:qFormat/>
    <w:uiPriority w:val="0"/>
    <w:pPr>
      <w:spacing w:after="120"/>
      <w:ind w:left="420" w:leftChars="200"/>
    </w:pPr>
  </w:style>
  <w:style w:type="paragraph" w:styleId="19">
    <w:name w:val="toc 5"/>
    <w:basedOn w:val="1"/>
    <w:next w:val="1"/>
    <w:autoRedefine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0">
    <w:name w:val="toc 3"/>
    <w:basedOn w:val="1"/>
    <w:next w:val="1"/>
    <w:autoRedefine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1">
    <w:name w:val="Plain Text"/>
    <w:basedOn w:val="1"/>
    <w:link w:val="95"/>
    <w:autoRedefine/>
    <w:qFormat/>
    <w:uiPriority w:val="0"/>
    <w:rPr>
      <w:rFonts w:ascii="宋体" w:hAnsi="Courier New"/>
    </w:rPr>
  </w:style>
  <w:style w:type="paragraph" w:styleId="22">
    <w:name w:val="toc 8"/>
    <w:basedOn w:val="1"/>
    <w:next w:val="1"/>
    <w:autoRedefine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3">
    <w:name w:val="Date"/>
    <w:basedOn w:val="1"/>
    <w:next w:val="1"/>
    <w:link w:val="113"/>
    <w:autoRedefine/>
    <w:qFormat/>
    <w:uiPriority w:val="0"/>
    <w:pPr>
      <w:ind w:left="100" w:leftChars="2500"/>
    </w:pPr>
  </w:style>
  <w:style w:type="paragraph" w:styleId="24">
    <w:name w:val="Body Text Indent 2"/>
    <w:basedOn w:val="1"/>
    <w:link w:val="91"/>
    <w:autoRedefine/>
    <w:qFormat/>
    <w:uiPriority w:val="0"/>
    <w:pPr>
      <w:spacing w:after="120" w:line="480" w:lineRule="auto"/>
      <w:ind w:left="420" w:leftChars="200"/>
    </w:pPr>
  </w:style>
  <w:style w:type="paragraph" w:styleId="25">
    <w:name w:val="Balloon Text"/>
    <w:basedOn w:val="1"/>
    <w:link w:val="99"/>
    <w:autoRedefine/>
    <w:qFormat/>
    <w:uiPriority w:val="0"/>
    <w:rPr>
      <w:sz w:val="18"/>
      <w:szCs w:val="18"/>
    </w:rPr>
  </w:style>
  <w:style w:type="paragraph" w:styleId="26">
    <w:name w:val="footer"/>
    <w:basedOn w:val="1"/>
    <w:link w:val="98"/>
    <w:autoRedefine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header"/>
    <w:basedOn w:val="1"/>
    <w:link w:val="86"/>
    <w:autoRedefine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toc 1"/>
    <w:basedOn w:val="1"/>
    <w:next w:val="1"/>
    <w:autoRedefine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29">
    <w:name w:val="toc 4"/>
    <w:basedOn w:val="1"/>
    <w:next w:val="1"/>
    <w:autoRedefine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0">
    <w:name w:val="index heading"/>
    <w:basedOn w:val="1"/>
    <w:next w:val="31"/>
    <w:autoRedefine/>
    <w:qFormat/>
    <w:uiPriority w:val="0"/>
    <w:pPr>
      <w:spacing w:line="300" w:lineRule="auto"/>
    </w:pPr>
    <w:rPr>
      <w:rFonts w:eastAsia="楷体_GB2312"/>
      <w:sz w:val="24"/>
    </w:rPr>
  </w:style>
  <w:style w:type="paragraph" w:styleId="31">
    <w:name w:val="index 1"/>
    <w:basedOn w:val="1"/>
    <w:next w:val="1"/>
    <w:autoRedefine/>
    <w:qFormat/>
    <w:uiPriority w:val="0"/>
  </w:style>
  <w:style w:type="paragraph" w:styleId="32">
    <w:name w:val="toc 6"/>
    <w:basedOn w:val="1"/>
    <w:next w:val="1"/>
    <w:autoRedefine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3">
    <w:name w:val="Body Text Indent 3"/>
    <w:basedOn w:val="1"/>
    <w:link w:val="107"/>
    <w:autoRedefine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4">
    <w:name w:val="toc 2"/>
    <w:basedOn w:val="1"/>
    <w:next w:val="1"/>
    <w:autoRedefine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35">
    <w:name w:val="toc 9"/>
    <w:basedOn w:val="1"/>
    <w:next w:val="1"/>
    <w:autoRedefine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6">
    <w:name w:val="Body Text 2"/>
    <w:basedOn w:val="1"/>
    <w:link w:val="111"/>
    <w:autoRedefine/>
    <w:qFormat/>
    <w:uiPriority w:val="0"/>
    <w:pPr>
      <w:spacing w:after="120" w:line="480" w:lineRule="auto"/>
    </w:pPr>
  </w:style>
  <w:style w:type="paragraph" w:styleId="37">
    <w:name w:val="Normal (Web)"/>
    <w:basedOn w:val="1"/>
    <w:autoRedefine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8">
    <w:name w:val="Title"/>
    <w:basedOn w:val="1"/>
    <w:link w:val="88"/>
    <w:autoRedefine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39">
    <w:name w:val="annotation subject"/>
    <w:basedOn w:val="15"/>
    <w:next w:val="15"/>
    <w:link w:val="129"/>
    <w:autoRedefine/>
    <w:semiHidden/>
    <w:unhideWhenUsed/>
    <w:qFormat/>
    <w:uiPriority w:val="0"/>
    <w:rPr>
      <w:b/>
      <w:bCs/>
    </w:rPr>
  </w:style>
  <w:style w:type="paragraph" w:styleId="40">
    <w:name w:val="Body Text First Indent"/>
    <w:basedOn w:val="17"/>
    <w:link w:val="103"/>
    <w:autoRedefine/>
    <w:qFormat/>
    <w:uiPriority w:val="0"/>
    <w:pPr>
      <w:ind w:firstLine="100" w:firstLineChars="100"/>
    </w:pPr>
  </w:style>
  <w:style w:type="character" w:styleId="43">
    <w:name w:val="Strong"/>
    <w:autoRedefine/>
    <w:qFormat/>
    <w:uiPriority w:val="0"/>
    <w:rPr>
      <w:b/>
      <w:bCs/>
    </w:rPr>
  </w:style>
  <w:style w:type="character" w:styleId="44">
    <w:name w:val="page number"/>
    <w:basedOn w:val="42"/>
    <w:autoRedefine/>
    <w:qFormat/>
    <w:uiPriority w:val="0"/>
  </w:style>
  <w:style w:type="character" w:styleId="45">
    <w:name w:val="FollowedHyperlink"/>
    <w:autoRedefine/>
    <w:qFormat/>
    <w:uiPriority w:val="0"/>
    <w:rPr>
      <w:color w:val="800080"/>
      <w:u w:val="single"/>
    </w:rPr>
  </w:style>
  <w:style w:type="character" w:styleId="46">
    <w:name w:val="Hyperlink"/>
    <w:autoRedefine/>
    <w:qFormat/>
    <w:uiPriority w:val="99"/>
    <w:rPr>
      <w:color w:val="0000FF"/>
      <w:u w:val="single"/>
    </w:rPr>
  </w:style>
  <w:style w:type="character" w:styleId="47">
    <w:name w:val="annotation reference"/>
    <w:autoRedefine/>
    <w:qFormat/>
    <w:uiPriority w:val="0"/>
    <w:rPr>
      <w:sz w:val="21"/>
      <w:szCs w:val="21"/>
    </w:rPr>
  </w:style>
  <w:style w:type="paragraph" w:customStyle="1" w:styleId="48">
    <w:name w:val="xl29"/>
    <w:basedOn w:val="1"/>
    <w:autoRedefine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49">
    <w:name w:val="正文无缩进"/>
    <w:basedOn w:val="1"/>
    <w:autoRedefine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50">
    <w:name w:val="段 Char"/>
    <w:autoRedefine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1">
    <w:name w:val="Char Char1"/>
    <w:basedOn w:val="1"/>
    <w:autoRedefine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2">
    <w:name w:val="4"/>
    <w:basedOn w:val="1"/>
    <w:autoRedefine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3">
    <w:name w:val="TOC 标题1"/>
    <w:basedOn w:val="2"/>
    <w:next w:val="1"/>
    <w:autoRedefine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4">
    <w:name w:val="Char"/>
    <w:basedOn w:val="1"/>
    <w:autoRedefine/>
    <w:qFormat/>
    <w:uiPriority w:val="0"/>
    <w:pPr>
      <w:tabs>
        <w:tab w:val="left" w:pos="360"/>
      </w:tabs>
    </w:pPr>
    <w:rPr>
      <w:sz w:val="24"/>
    </w:rPr>
  </w:style>
  <w:style w:type="paragraph" w:customStyle="1" w:styleId="55">
    <w:name w:val="Char Char3 Char Char Char Char"/>
    <w:basedOn w:val="1"/>
    <w:autoRedefine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56">
    <w:name w:val="Char Char Char Char"/>
    <w:basedOn w:val="14"/>
    <w:autoRedefine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57">
    <w:name w:val="Indent Normal"/>
    <w:basedOn w:val="1"/>
    <w:autoRedefine/>
    <w:qFormat/>
    <w:uiPriority w:val="0"/>
    <w:pPr>
      <w:ind w:firstLine="150" w:firstLineChars="150"/>
    </w:pPr>
    <w:rPr>
      <w:sz w:val="24"/>
    </w:rPr>
  </w:style>
  <w:style w:type="paragraph" w:customStyle="1" w:styleId="58">
    <w:name w:val="助手文本"/>
    <w:basedOn w:val="1"/>
    <w:autoRedefine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59">
    <w:name w:val="样式1"/>
    <w:basedOn w:val="1"/>
    <w:link w:val="130"/>
    <w:autoRedefine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60">
    <w:name w:val="正文--表格内正文"/>
    <w:basedOn w:val="1"/>
    <w:autoRedefine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1">
    <w:name w:val="Char Char1 Char Char Char Char Char Char"/>
    <w:basedOn w:val="1"/>
    <w:autoRedefine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2">
    <w:name w:val="样式4 Char"/>
    <w:basedOn w:val="1"/>
    <w:autoRedefine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3">
    <w:name w:val="列出段落1"/>
    <w:basedOn w:val="1"/>
    <w:autoRedefine/>
    <w:qFormat/>
    <w:uiPriority w:val="34"/>
  </w:style>
  <w:style w:type="paragraph" w:customStyle="1" w:styleId="64">
    <w:name w:val="paragraphindent"/>
    <w:basedOn w:val="1"/>
    <w:autoRedefine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65">
    <w:name w:val="FA正文"/>
    <w:basedOn w:val="1"/>
    <w:link w:val="109"/>
    <w:autoRedefine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66">
    <w:name w:val="14_black"/>
    <w:basedOn w:val="1"/>
    <w:autoRedefine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67">
    <w:name w:val="È±Ê¡ÎÄ±¾"/>
    <w:basedOn w:val="1"/>
    <w:autoRedefine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68">
    <w:name w:val="样式2"/>
    <w:basedOn w:val="1"/>
    <w:link w:val="115"/>
    <w:autoRedefine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69">
    <w:name w:val="样式3"/>
    <w:basedOn w:val="27"/>
    <w:link w:val="116"/>
    <w:autoRedefine/>
    <w:qFormat/>
    <w:uiPriority w:val="0"/>
    <w:pPr>
      <w:ind w:firstLine="360"/>
    </w:pPr>
  </w:style>
  <w:style w:type="paragraph" w:customStyle="1" w:styleId="70">
    <w:name w:val="样式4"/>
    <w:basedOn w:val="69"/>
    <w:link w:val="117"/>
    <w:autoRedefine/>
    <w:qFormat/>
    <w:uiPriority w:val="0"/>
  </w:style>
  <w:style w:type="paragraph" w:customStyle="1" w:styleId="71">
    <w:name w:val="样式5"/>
    <w:basedOn w:val="27"/>
    <w:link w:val="118"/>
    <w:autoRedefine/>
    <w:qFormat/>
    <w:uiPriority w:val="0"/>
    <w:pPr>
      <w:ind w:firstLine="360"/>
    </w:pPr>
  </w:style>
  <w:style w:type="paragraph" w:customStyle="1" w:styleId="72">
    <w:name w:val="样式6"/>
    <w:basedOn w:val="27"/>
    <w:link w:val="119"/>
    <w:autoRedefine/>
    <w:qFormat/>
    <w:uiPriority w:val="0"/>
    <w:pPr>
      <w:ind w:firstLine="360"/>
    </w:pPr>
  </w:style>
  <w:style w:type="paragraph" w:customStyle="1" w:styleId="73">
    <w:name w:val="样式7"/>
    <w:basedOn w:val="4"/>
    <w:link w:val="120"/>
    <w:autoRedefine/>
    <w:qFormat/>
    <w:uiPriority w:val="0"/>
  </w:style>
  <w:style w:type="paragraph" w:customStyle="1" w:styleId="74">
    <w:name w:val="样式8"/>
    <w:basedOn w:val="26"/>
    <w:link w:val="121"/>
    <w:autoRedefine/>
    <w:qFormat/>
    <w:uiPriority w:val="0"/>
    <w:pPr>
      <w:ind w:firstLine="0" w:firstLineChars="0"/>
      <w:jc w:val="left"/>
    </w:pPr>
  </w:style>
  <w:style w:type="paragraph" w:customStyle="1" w:styleId="75">
    <w:name w:val="样式9"/>
    <w:basedOn w:val="74"/>
    <w:link w:val="122"/>
    <w:autoRedefine/>
    <w:qFormat/>
    <w:uiPriority w:val="0"/>
    <w:pPr>
      <w:jc w:val="center"/>
    </w:pPr>
  </w:style>
  <w:style w:type="paragraph" w:customStyle="1" w:styleId="76">
    <w:name w:val="样式10"/>
    <w:basedOn w:val="75"/>
    <w:link w:val="123"/>
    <w:autoRedefine/>
    <w:qFormat/>
    <w:uiPriority w:val="0"/>
    <w:pPr>
      <w:pBdr>
        <w:top w:val="single" w:color="76923C" w:sz="24" w:space="1"/>
      </w:pBdr>
    </w:pPr>
  </w:style>
  <w:style w:type="paragraph" w:customStyle="1" w:styleId="77">
    <w:name w:val="样式11"/>
    <w:basedOn w:val="76"/>
    <w:link w:val="124"/>
    <w:autoRedefine/>
    <w:qFormat/>
    <w:uiPriority w:val="0"/>
    <w:pPr>
      <w:pBdr>
        <w:top w:val="none" w:color="auto" w:sz="0" w:space="0"/>
      </w:pBdr>
    </w:pPr>
  </w:style>
  <w:style w:type="paragraph" w:customStyle="1" w:styleId="78">
    <w:name w:val="样式12"/>
    <w:basedOn w:val="77"/>
    <w:link w:val="125"/>
    <w:autoRedefine/>
    <w:qFormat/>
    <w:uiPriority w:val="0"/>
  </w:style>
  <w:style w:type="paragraph" w:customStyle="1" w:styleId="79">
    <w:name w:val="样式13"/>
    <w:basedOn w:val="73"/>
    <w:link w:val="126"/>
    <w:autoRedefine/>
    <w:qFormat/>
    <w:uiPriority w:val="0"/>
  </w:style>
  <w:style w:type="paragraph" w:customStyle="1" w:styleId="80">
    <w:name w:val="2"/>
    <w:basedOn w:val="1"/>
    <w:link w:val="127"/>
    <w:autoRedefine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1">
    <w:name w:val="1"/>
    <w:basedOn w:val="1"/>
    <w:link w:val="128"/>
    <w:autoRedefine/>
    <w:qFormat/>
    <w:uiPriority w:val="0"/>
    <w:pPr>
      <w:ind w:firstLine="0" w:firstLineChars="0"/>
    </w:pPr>
  </w:style>
  <w:style w:type="paragraph" w:customStyle="1" w:styleId="82">
    <w:name w:val="飞越型"/>
    <w:autoRedefine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3">
    <w:name w:val="无间隔1"/>
    <w:autoRedefine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84">
    <w:name w:val="列出段落2"/>
    <w:basedOn w:val="1"/>
    <w:autoRedefine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85">
    <w:name w:val="标题 5 Char"/>
    <w:link w:val="6"/>
    <w:autoRedefine/>
    <w:qFormat/>
    <w:uiPriority w:val="0"/>
    <w:rPr>
      <w:b/>
      <w:bCs/>
      <w:kern w:val="2"/>
      <w:sz w:val="28"/>
      <w:szCs w:val="28"/>
    </w:rPr>
  </w:style>
  <w:style w:type="character" w:customStyle="1" w:styleId="86">
    <w:name w:val="页眉 Char"/>
    <w:link w:val="27"/>
    <w:autoRedefine/>
    <w:qFormat/>
    <w:uiPriority w:val="99"/>
    <w:rPr>
      <w:kern w:val="2"/>
      <w:sz w:val="18"/>
      <w:szCs w:val="18"/>
    </w:rPr>
  </w:style>
  <w:style w:type="character" w:customStyle="1" w:styleId="87">
    <w:name w:val="标题 6 Char"/>
    <w:link w:val="7"/>
    <w:autoRedefine/>
    <w:qFormat/>
    <w:uiPriority w:val="0"/>
    <w:rPr>
      <w:b/>
      <w:bCs/>
      <w:kern w:val="2"/>
      <w:sz w:val="30"/>
      <w:szCs w:val="18"/>
    </w:rPr>
  </w:style>
  <w:style w:type="character" w:customStyle="1" w:styleId="88">
    <w:name w:val="标题 Char"/>
    <w:link w:val="38"/>
    <w:autoRedefine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89">
    <w:name w:val="标题 7 Char"/>
    <w:link w:val="8"/>
    <w:autoRedefine/>
    <w:qFormat/>
    <w:uiPriority w:val="0"/>
    <w:rPr>
      <w:b/>
      <w:bCs/>
      <w:kern w:val="2"/>
      <w:sz w:val="30"/>
      <w:szCs w:val="18"/>
    </w:rPr>
  </w:style>
  <w:style w:type="character" w:customStyle="1" w:styleId="90">
    <w:name w:val="标题 8 Char"/>
    <w:link w:val="9"/>
    <w:autoRedefine/>
    <w:qFormat/>
    <w:uiPriority w:val="0"/>
    <w:rPr>
      <w:b/>
      <w:bCs/>
      <w:kern w:val="2"/>
      <w:sz w:val="30"/>
      <w:szCs w:val="18"/>
    </w:rPr>
  </w:style>
  <w:style w:type="character" w:customStyle="1" w:styleId="91">
    <w:name w:val="正文文本缩进 2 Char"/>
    <w:link w:val="24"/>
    <w:autoRedefine/>
    <w:qFormat/>
    <w:uiPriority w:val="0"/>
    <w:rPr>
      <w:kern w:val="2"/>
      <w:sz w:val="21"/>
      <w:szCs w:val="24"/>
    </w:rPr>
  </w:style>
  <w:style w:type="character" w:customStyle="1" w:styleId="92">
    <w:name w:val="标题 9 Char"/>
    <w:link w:val="10"/>
    <w:autoRedefine/>
    <w:qFormat/>
    <w:uiPriority w:val="0"/>
    <w:rPr>
      <w:b/>
      <w:bCs/>
      <w:kern w:val="2"/>
      <w:sz w:val="30"/>
      <w:szCs w:val="18"/>
    </w:rPr>
  </w:style>
  <w:style w:type="character" w:customStyle="1" w:styleId="93">
    <w:name w:val="large1"/>
    <w:autoRedefine/>
    <w:qFormat/>
    <w:uiPriority w:val="0"/>
    <w:rPr>
      <w:rFonts w:hint="eastAsia" w:ascii="宋体" w:hAnsi="宋体" w:eastAsia="宋体"/>
      <w:sz w:val="22"/>
      <w:szCs w:val="22"/>
    </w:rPr>
  </w:style>
  <w:style w:type="character" w:customStyle="1" w:styleId="94">
    <w:name w:val="正文文本缩进 Char"/>
    <w:link w:val="18"/>
    <w:autoRedefine/>
    <w:qFormat/>
    <w:uiPriority w:val="0"/>
    <w:rPr>
      <w:kern w:val="2"/>
      <w:sz w:val="21"/>
      <w:szCs w:val="24"/>
    </w:rPr>
  </w:style>
  <w:style w:type="character" w:customStyle="1" w:styleId="95">
    <w:name w:val="纯文本 Char"/>
    <w:link w:val="21"/>
    <w:autoRedefine/>
    <w:qFormat/>
    <w:uiPriority w:val="0"/>
    <w:rPr>
      <w:rFonts w:ascii="宋体" w:hAnsi="Courier New"/>
      <w:kern w:val="2"/>
      <w:sz w:val="21"/>
    </w:rPr>
  </w:style>
  <w:style w:type="character" w:customStyle="1" w:styleId="96">
    <w:name w:val="标题 2 Char"/>
    <w:link w:val="3"/>
    <w:autoRedefine/>
    <w:qFormat/>
    <w:uiPriority w:val="0"/>
    <w:rPr>
      <w:b/>
      <w:bCs/>
      <w:kern w:val="2"/>
      <w:sz w:val="30"/>
      <w:szCs w:val="32"/>
    </w:rPr>
  </w:style>
  <w:style w:type="character" w:customStyle="1" w:styleId="97">
    <w:name w:val="标题 3 Char"/>
    <w:link w:val="4"/>
    <w:autoRedefine/>
    <w:qFormat/>
    <w:uiPriority w:val="0"/>
    <w:rPr>
      <w:b/>
      <w:bCs/>
      <w:kern w:val="2"/>
      <w:sz w:val="28"/>
      <w:szCs w:val="18"/>
    </w:rPr>
  </w:style>
  <w:style w:type="character" w:customStyle="1" w:styleId="98">
    <w:name w:val="页脚 Char"/>
    <w:link w:val="26"/>
    <w:autoRedefine/>
    <w:qFormat/>
    <w:uiPriority w:val="99"/>
    <w:rPr>
      <w:kern w:val="2"/>
      <w:sz w:val="18"/>
      <w:szCs w:val="18"/>
    </w:rPr>
  </w:style>
  <w:style w:type="character" w:customStyle="1" w:styleId="99">
    <w:name w:val="批注框文本 Char"/>
    <w:link w:val="25"/>
    <w:autoRedefine/>
    <w:qFormat/>
    <w:uiPriority w:val="0"/>
    <w:rPr>
      <w:kern w:val="2"/>
      <w:sz w:val="18"/>
      <w:szCs w:val="18"/>
    </w:rPr>
  </w:style>
  <w:style w:type="character" w:customStyle="1" w:styleId="100">
    <w:name w:val="批注文字 Char"/>
    <w:link w:val="15"/>
    <w:autoRedefine/>
    <w:qFormat/>
    <w:uiPriority w:val="0"/>
    <w:rPr>
      <w:kern w:val="2"/>
      <w:sz w:val="21"/>
      <w:szCs w:val="24"/>
    </w:rPr>
  </w:style>
  <w:style w:type="character" w:customStyle="1" w:styleId="101">
    <w:name w:val="14_black1"/>
    <w:autoRedefine/>
    <w:qFormat/>
    <w:uiPriority w:val="0"/>
    <w:rPr>
      <w:color w:val="000000"/>
      <w:sz w:val="23"/>
      <w:szCs w:val="23"/>
    </w:rPr>
  </w:style>
  <w:style w:type="character" w:customStyle="1" w:styleId="102">
    <w:name w:val="标题 1 Char"/>
    <w:link w:val="2"/>
    <w:autoRedefine/>
    <w:qFormat/>
    <w:uiPriority w:val="0"/>
    <w:rPr>
      <w:b/>
      <w:bCs/>
      <w:kern w:val="44"/>
      <w:sz w:val="32"/>
      <w:szCs w:val="28"/>
    </w:rPr>
  </w:style>
  <w:style w:type="character" w:customStyle="1" w:styleId="103">
    <w:name w:val="正文首行缩进 Char"/>
    <w:link w:val="40"/>
    <w:autoRedefine/>
    <w:qFormat/>
    <w:uiPriority w:val="0"/>
    <w:rPr>
      <w:kern w:val="2"/>
      <w:sz w:val="21"/>
      <w:szCs w:val="24"/>
    </w:rPr>
  </w:style>
  <w:style w:type="character" w:customStyle="1" w:styleId="104">
    <w:name w:val="正文文本 Char"/>
    <w:link w:val="17"/>
    <w:autoRedefine/>
    <w:qFormat/>
    <w:uiPriority w:val="0"/>
    <w:rPr>
      <w:kern w:val="2"/>
      <w:sz w:val="21"/>
      <w:szCs w:val="24"/>
    </w:rPr>
  </w:style>
  <w:style w:type="character" w:customStyle="1" w:styleId="105">
    <w:name w:val="f141"/>
    <w:autoRedefine/>
    <w:qFormat/>
    <w:uiPriority w:val="0"/>
    <w:rPr>
      <w:sz w:val="21"/>
      <w:szCs w:val="21"/>
    </w:rPr>
  </w:style>
  <w:style w:type="character" w:customStyle="1" w:styleId="106">
    <w:name w:val="标题 4 Char"/>
    <w:link w:val="5"/>
    <w:autoRedefine/>
    <w:qFormat/>
    <w:uiPriority w:val="0"/>
    <w:rPr>
      <w:rFonts w:hAnsi="Arial"/>
      <w:b/>
      <w:bCs/>
      <w:kern w:val="2"/>
      <w:sz w:val="24"/>
      <w:szCs w:val="28"/>
    </w:rPr>
  </w:style>
  <w:style w:type="character" w:customStyle="1" w:styleId="107">
    <w:name w:val="正文文本缩进 3 Char"/>
    <w:link w:val="33"/>
    <w:autoRedefine/>
    <w:qFormat/>
    <w:uiPriority w:val="0"/>
    <w:rPr>
      <w:kern w:val="2"/>
      <w:sz w:val="16"/>
      <w:szCs w:val="16"/>
    </w:rPr>
  </w:style>
  <w:style w:type="character" w:customStyle="1" w:styleId="108">
    <w:name w:val="文档结构图 Char"/>
    <w:link w:val="14"/>
    <w:autoRedefine/>
    <w:qFormat/>
    <w:uiPriority w:val="0"/>
    <w:rPr>
      <w:rFonts w:ascii="宋体"/>
      <w:kern w:val="2"/>
      <w:sz w:val="18"/>
      <w:szCs w:val="18"/>
    </w:rPr>
  </w:style>
  <w:style w:type="character" w:customStyle="1" w:styleId="109">
    <w:name w:val="FA正文 Char"/>
    <w:link w:val="65"/>
    <w:autoRedefine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10">
    <w:name w:val="正文文本 3 Char"/>
    <w:link w:val="16"/>
    <w:autoRedefine/>
    <w:qFormat/>
    <w:uiPriority w:val="0"/>
    <w:rPr>
      <w:kern w:val="2"/>
      <w:sz w:val="16"/>
      <w:szCs w:val="16"/>
    </w:rPr>
  </w:style>
  <w:style w:type="character" w:customStyle="1" w:styleId="111">
    <w:name w:val="正文文本 2 Char"/>
    <w:link w:val="36"/>
    <w:autoRedefine/>
    <w:qFormat/>
    <w:uiPriority w:val="0"/>
    <w:rPr>
      <w:kern w:val="2"/>
      <w:sz w:val="21"/>
      <w:szCs w:val="24"/>
    </w:rPr>
  </w:style>
  <w:style w:type="character" w:customStyle="1" w:styleId="112">
    <w:name w:val="Indent Normal Char"/>
    <w:autoRedefine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3">
    <w:name w:val="日期 Char"/>
    <w:link w:val="23"/>
    <w:autoRedefine/>
    <w:qFormat/>
    <w:uiPriority w:val="0"/>
    <w:rPr>
      <w:kern w:val="2"/>
      <w:sz w:val="21"/>
      <w:szCs w:val="24"/>
    </w:rPr>
  </w:style>
  <w:style w:type="character" w:customStyle="1" w:styleId="114">
    <w:name w:val="p11b1"/>
    <w:autoRedefine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5">
    <w:name w:val="样式2 Char"/>
    <w:link w:val="68"/>
    <w:autoRedefine/>
    <w:qFormat/>
    <w:uiPriority w:val="0"/>
    <w:rPr>
      <w:b/>
      <w:kern w:val="2"/>
      <w:sz w:val="30"/>
      <w:szCs w:val="24"/>
    </w:rPr>
  </w:style>
  <w:style w:type="character" w:customStyle="1" w:styleId="116">
    <w:name w:val="样式3 Char"/>
    <w:link w:val="69"/>
    <w:autoRedefine/>
    <w:qFormat/>
    <w:uiPriority w:val="0"/>
    <w:rPr>
      <w:kern w:val="2"/>
      <w:sz w:val="18"/>
      <w:szCs w:val="18"/>
    </w:rPr>
  </w:style>
  <w:style w:type="character" w:customStyle="1" w:styleId="117">
    <w:name w:val="样式4 Char1"/>
    <w:link w:val="70"/>
    <w:autoRedefine/>
    <w:qFormat/>
    <w:uiPriority w:val="0"/>
    <w:rPr>
      <w:kern w:val="2"/>
      <w:sz w:val="18"/>
      <w:szCs w:val="18"/>
    </w:rPr>
  </w:style>
  <w:style w:type="character" w:customStyle="1" w:styleId="118">
    <w:name w:val="样式5 Char"/>
    <w:link w:val="71"/>
    <w:autoRedefine/>
    <w:qFormat/>
    <w:uiPriority w:val="0"/>
    <w:rPr>
      <w:kern w:val="2"/>
      <w:sz w:val="18"/>
      <w:szCs w:val="18"/>
    </w:rPr>
  </w:style>
  <w:style w:type="character" w:customStyle="1" w:styleId="119">
    <w:name w:val="样式6 Char"/>
    <w:link w:val="72"/>
    <w:autoRedefine/>
    <w:qFormat/>
    <w:uiPriority w:val="0"/>
    <w:rPr>
      <w:kern w:val="2"/>
      <w:sz w:val="18"/>
      <w:szCs w:val="18"/>
    </w:rPr>
  </w:style>
  <w:style w:type="character" w:customStyle="1" w:styleId="120">
    <w:name w:val="样式7 Char"/>
    <w:link w:val="73"/>
    <w:autoRedefine/>
    <w:qFormat/>
    <w:uiPriority w:val="0"/>
    <w:rPr>
      <w:b/>
      <w:bCs/>
      <w:kern w:val="2"/>
      <w:sz w:val="28"/>
      <w:szCs w:val="18"/>
    </w:rPr>
  </w:style>
  <w:style w:type="character" w:customStyle="1" w:styleId="121">
    <w:name w:val="样式8 Char"/>
    <w:link w:val="74"/>
    <w:autoRedefine/>
    <w:qFormat/>
    <w:uiPriority w:val="0"/>
    <w:rPr>
      <w:kern w:val="2"/>
      <w:sz w:val="18"/>
      <w:szCs w:val="18"/>
    </w:rPr>
  </w:style>
  <w:style w:type="character" w:customStyle="1" w:styleId="122">
    <w:name w:val="样式9 Char"/>
    <w:link w:val="75"/>
    <w:autoRedefine/>
    <w:qFormat/>
    <w:uiPriority w:val="0"/>
    <w:rPr>
      <w:kern w:val="2"/>
      <w:sz w:val="18"/>
      <w:szCs w:val="18"/>
    </w:rPr>
  </w:style>
  <w:style w:type="character" w:customStyle="1" w:styleId="123">
    <w:name w:val="样式10 Char"/>
    <w:link w:val="76"/>
    <w:autoRedefine/>
    <w:qFormat/>
    <w:uiPriority w:val="0"/>
    <w:rPr>
      <w:kern w:val="2"/>
      <w:sz w:val="18"/>
      <w:szCs w:val="18"/>
    </w:rPr>
  </w:style>
  <w:style w:type="character" w:customStyle="1" w:styleId="124">
    <w:name w:val="样式11 Char"/>
    <w:link w:val="77"/>
    <w:autoRedefine/>
    <w:qFormat/>
    <w:uiPriority w:val="0"/>
    <w:rPr>
      <w:kern w:val="2"/>
      <w:sz w:val="18"/>
      <w:szCs w:val="18"/>
    </w:rPr>
  </w:style>
  <w:style w:type="character" w:customStyle="1" w:styleId="125">
    <w:name w:val="样式12 Char"/>
    <w:link w:val="78"/>
    <w:autoRedefine/>
    <w:qFormat/>
    <w:uiPriority w:val="0"/>
    <w:rPr>
      <w:kern w:val="2"/>
      <w:sz w:val="18"/>
      <w:szCs w:val="18"/>
    </w:rPr>
  </w:style>
  <w:style w:type="character" w:customStyle="1" w:styleId="126">
    <w:name w:val="样式13 Char"/>
    <w:link w:val="79"/>
    <w:autoRedefine/>
    <w:qFormat/>
    <w:uiPriority w:val="0"/>
    <w:rPr>
      <w:b/>
      <w:bCs/>
      <w:kern w:val="2"/>
      <w:sz w:val="28"/>
      <w:szCs w:val="18"/>
    </w:rPr>
  </w:style>
  <w:style w:type="character" w:customStyle="1" w:styleId="127">
    <w:name w:val="2 Char"/>
    <w:link w:val="80"/>
    <w:autoRedefine/>
    <w:qFormat/>
    <w:uiPriority w:val="0"/>
    <w:rPr>
      <w:spacing w:val="4"/>
      <w:kern w:val="2"/>
      <w:sz w:val="21"/>
      <w:szCs w:val="24"/>
    </w:rPr>
  </w:style>
  <w:style w:type="character" w:customStyle="1" w:styleId="128">
    <w:name w:val="1 Char"/>
    <w:link w:val="81"/>
    <w:autoRedefine/>
    <w:qFormat/>
    <w:uiPriority w:val="0"/>
    <w:rPr>
      <w:kern w:val="2"/>
      <w:sz w:val="21"/>
      <w:szCs w:val="24"/>
    </w:rPr>
  </w:style>
  <w:style w:type="character" w:customStyle="1" w:styleId="129">
    <w:name w:val="批注主题 Char"/>
    <w:link w:val="39"/>
    <w:autoRedefine/>
    <w:semiHidden/>
    <w:qFormat/>
    <w:uiPriority w:val="0"/>
    <w:rPr>
      <w:b/>
      <w:bCs/>
      <w:kern w:val="2"/>
      <w:sz w:val="21"/>
      <w:szCs w:val="24"/>
    </w:rPr>
  </w:style>
  <w:style w:type="character" w:customStyle="1" w:styleId="130">
    <w:name w:val="样式1 Char"/>
    <w:link w:val="59"/>
    <w:autoRedefine/>
    <w:qFormat/>
    <w:uiPriority w:val="0"/>
    <w:rPr>
      <w:kern w:val="2"/>
      <w:sz w:val="24"/>
      <w:szCs w:val="24"/>
    </w:rPr>
  </w:style>
  <w:style w:type="paragraph" w:styleId="131">
    <w:name w:val="No Spacing"/>
    <w:autoRedefine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6" Type="http://schemas.openxmlformats.org/officeDocument/2006/relationships/fontTable" Target="fontTable.xml"/><Relationship Id="rId75" Type="http://schemas.openxmlformats.org/officeDocument/2006/relationships/customXml" Target="../customXml/item2.xml"/><Relationship Id="rId74" Type="http://schemas.openxmlformats.org/officeDocument/2006/relationships/numbering" Target="numbering.xml"/><Relationship Id="rId73" Type="http://schemas.openxmlformats.org/officeDocument/2006/relationships/customXml" Target="../customXml/item1.xml"/><Relationship Id="rId72" Type="http://schemas.openxmlformats.org/officeDocument/2006/relationships/image" Target="media/image62.png"/><Relationship Id="rId71" Type="http://schemas.openxmlformats.org/officeDocument/2006/relationships/image" Target="media/image61.png"/><Relationship Id="rId70" Type="http://schemas.openxmlformats.org/officeDocument/2006/relationships/image" Target="media/image60.png"/><Relationship Id="rId7" Type="http://schemas.openxmlformats.org/officeDocument/2006/relationships/header" Target="header3.xml"/><Relationship Id="rId69" Type="http://schemas.openxmlformats.org/officeDocument/2006/relationships/image" Target="media/image59.pn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png"/><Relationship Id="rId65" Type="http://schemas.openxmlformats.org/officeDocument/2006/relationships/image" Target="media/image55.png"/><Relationship Id="rId64" Type="http://schemas.openxmlformats.org/officeDocument/2006/relationships/image" Target="media/image54.png"/><Relationship Id="rId63" Type="http://schemas.openxmlformats.org/officeDocument/2006/relationships/image" Target="media/image53.png"/><Relationship Id="rId62" Type="http://schemas.openxmlformats.org/officeDocument/2006/relationships/image" Target="media/image52.pn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header" Target="header2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jpe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1F465C7-B6AF-4134-9F4C-48EC98946AF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江苏国泰新点软件有限公司  0512-58188000</Company>
  <Pages>40</Pages>
  <Words>801</Words>
  <Characters>4567</Characters>
  <Lines>38</Lines>
  <Paragraphs>10</Paragraphs>
  <TotalTime>0</TotalTime>
  <ScaleCrop>false</ScaleCrop>
  <LinksUpToDate>false</LinksUpToDate>
  <CharactersWithSpaces>5358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2014-05-09T02:07:00Z</dcterms:created>
  <dc:creator>yuanxun</dc:creator>
  <cp:lastModifiedBy>agaric</cp:lastModifiedBy>
  <dcterms:modified xsi:type="dcterms:W3CDTF">2024-05-10T08:48:51Z</dcterms:modified>
  <dc:title>_x0001_</dc:title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ED6331057DA347EB9DB1871A0C1ACDA1_13</vt:lpwstr>
  </property>
</Properties>
</file>