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1"/>
        <w:rPr>
          <w:b/>
          <w:spacing w:val="-70"/>
          <w:sz w:val="72"/>
          <w:szCs w:val="72"/>
        </w:rPr>
      </w:pPr>
      <w:r>
        <w:rPr>
          <w:b/>
          <w:spacing w:val="-70"/>
          <w:sz w:val="72"/>
          <w:szCs w:val="72"/>
        </w:rPr>
        <w:drawing>
          <wp:inline distT="0" distB="0" distL="0" distR="0">
            <wp:extent cx="5248910" cy="1199515"/>
            <wp:effectExtent l="19050" t="0" r="8890" b="0"/>
            <wp:docPr id="1" name="图片 0" descr="公司LOGO2018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公司LOGO2018版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>江苏国泰新点软件有限公司</w:t>
      </w:r>
    </w:p>
    <w:p>
      <w:pPr>
        <w:jc w:val="center"/>
        <w:rPr>
          <w:rFonts w:ascii="Arial" w:hAnsi="Arial" w:cs="Arial"/>
          <w:b/>
          <w:color w:val="0000FF"/>
          <w:szCs w:val="21"/>
        </w:rPr>
      </w:pPr>
      <w:r>
        <w:rPr>
          <w:rFonts w:hint="eastAsia" w:ascii="宋体" w:hAnsi="宋体"/>
          <w:szCs w:val="21"/>
        </w:rPr>
        <w:t>地址：江苏张家港市经济开发区</w:t>
      </w:r>
      <w:r>
        <w:rPr>
          <w:rFonts w:ascii="Arial" w:hAnsi="Arial" w:cs="Arial"/>
          <w:b/>
          <w:color w:val="0000FF"/>
          <w:szCs w:val="21"/>
        </w:rPr>
        <w:t>(http://www.epint.</w:t>
      </w:r>
      <w:r>
        <w:rPr>
          <w:rFonts w:hint="eastAsia" w:ascii="Arial" w:hAnsi="Arial" w:cs="Arial"/>
          <w:b/>
          <w:color w:val="0000FF"/>
          <w:szCs w:val="21"/>
        </w:rPr>
        <w:t>com.cn</w:t>
      </w:r>
      <w:r>
        <w:rPr>
          <w:rFonts w:ascii="Arial" w:hAnsi="Arial" w:cs="Arial"/>
          <w:b/>
          <w:color w:val="0000FF"/>
          <w:szCs w:val="21"/>
        </w:rPr>
        <w:t>)</w:t>
      </w:r>
    </w:p>
    <w:p>
      <w:pPr>
        <w:jc w:val="center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电话：</w:t>
      </w:r>
      <w:r>
        <w:rPr>
          <w:rFonts w:hint="eastAsia"/>
          <w:szCs w:val="21"/>
        </w:rPr>
        <w:t>4009980000</w:t>
      </w: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  <w:lang w:val="en-US" w:eastAsia="zh-CN"/>
        </w:rPr>
        <w:t>滁州市公共资源交易不见面开标系统</w:t>
      </w:r>
      <w:r>
        <w:rPr>
          <w:b/>
          <w:sz w:val="52"/>
          <w:szCs w:val="52"/>
        </w:rPr>
        <w:t>-</w:t>
      </w:r>
      <w:r>
        <w:rPr>
          <w:rFonts w:hint="eastAsia"/>
          <w:b/>
          <w:sz w:val="52"/>
          <w:szCs w:val="52"/>
          <w:lang w:val="en-US" w:eastAsia="zh-CN"/>
        </w:rPr>
        <w:t>监管</w:t>
      </w:r>
      <w:r>
        <w:rPr>
          <w:b/>
          <w:sz w:val="52"/>
          <w:szCs w:val="52"/>
        </w:rPr>
        <w:t>人</w:t>
      </w:r>
    </w:p>
    <w:p>
      <w:pPr>
        <w:ind w:firstLine="0" w:firstLineChars="0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操作手册</w:t>
      </w: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0" w:firstLineChars="0"/>
      </w:pPr>
    </w:p>
    <w:p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</w:p>
    <w:p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  <w:r>
        <w:rPr>
          <w:b/>
          <w:spacing w:val="200"/>
          <w:sz w:val="32"/>
        </w:rPr>
        <w:t>目录</w:t>
      </w:r>
    </w:p>
    <w:p>
      <w:pPr>
        <w:pStyle w:val="34"/>
        <w:tabs>
          <w:tab w:val="right" w:leader="dot" w:pos="8266"/>
        </w:tabs>
      </w:pP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TOC \o "4-5" \h \z \t "标题 1,1,标题 2,2,标题 3,3" </w:instrText>
      </w:r>
      <w:r>
        <w:rPr>
          <w:rFonts w:cs="Times New Roman"/>
        </w:rPr>
        <w:fldChar w:fldCharType="separate"/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HYPERLINK \l _Toc18444 </w:instrText>
      </w:r>
      <w:r>
        <w:rPr>
          <w:rFonts w:cs="Times New Roman"/>
        </w:rPr>
        <w:fldChar w:fldCharType="separate"/>
      </w:r>
      <w:r>
        <w:rPr>
          <w:rFonts w:hint="eastAsia"/>
          <w:szCs w:val="30"/>
        </w:rPr>
        <w:t xml:space="preserve">1.1、 </w:t>
      </w:r>
      <w:r>
        <w:t>驱动安装说明</w:t>
      </w:r>
      <w:r>
        <w:tab/>
      </w:r>
      <w:r>
        <w:fldChar w:fldCharType="begin"/>
      </w:r>
      <w:r>
        <w:instrText xml:space="preserve"> PAGEREF _Toc18444 </w:instrText>
      </w:r>
      <w:r>
        <w:fldChar w:fldCharType="separate"/>
      </w:r>
      <w:r>
        <w:t>2</w:t>
      </w:r>
      <w:r>
        <w:fldChar w:fldCharType="end"/>
      </w:r>
      <w:r>
        <w:rPr>
          <w:rFonts w:cs="Times New Roman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_Toc3945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1.1.1、 </w:t>
      </w:r>
      <w:r>
        <w:t>安装驱动程序</w:t>
      </w:r>
      <w:r>
        <w:tab/>
      </w:r>
      <w:r>
        <w:fldChar w:fldCharType="begin"/>
      </w:r>
      <w:r>
        <w:instrText xml:space="preserve"> PAGEREF _Toc3945 </w:instrText>
      </w:r>
      <w:r>
        <w:fldChar w:fldCharType="separate"/>
      </w:r>
      <w:r>
        <w:t>2</w:t>
      </w:r>
      <w:r>
        <w:fldChar w:fldCharType="end"/>
      </w:r>
      <w:r>
        <w:rPr>
          <w:szCs w:val="20"/>
        </w:rPr>
        <w:fldChar w:fldCharType="end"/>
      </w:r>
    </w:p>
    <w:p>
      <w:pPr>
        <w:pStyle w:val="28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_Toc20380 </w:instrText>
      </w:r>
      <w:r>
        <w:rPr>
          <w:szCs w:val="20"/>
        </w:rPr>
        <w:fldChar w:fldCharType="separate"/>
      </w:r>
      <w:r>
        <w:rPr>
          <w:rFonts w:hint="eastAsia"/>
          <w:lang w:val="en-US"/>
        </w:rPr>
        <w:t xml:space="preserve">二、 </w:t>
      </w:r>
      <w:r>
        <w:t>系统前期准备</w:t>
      </w:r>
      <w:r>
        <w:tab/>
      </w:r>
      <w:r>
        <w:fldChar w:fldCharType="begin"/>
      </w:r>
      <w:r>
        <w:instrText xml:space="preserve"> PAGEREF _Toc20380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_Toc8339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2.1、 </w:t>
      </w:r>
      <w:r>
        <w:t>检测工具</w:t>
      </w:r>
      <w:r>
        <w:tab/>
      </w:r>
      <w:r>
        <w:fldChar w:fldCharType="begin"/>
      </w:r>
      <w:r>
        <w:instrText xml:space="preserve"> PAGEREF _Toc8339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_Toc15276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2.1.1、 </w:t>
      </w:r>
      <w:r>
        <w:t>启动检测工具</w:t>
      </w:r>
      <w:r>
        <w:tab/>
      </w:r>
      <w:r>
        <w:fldChar w:fldCharType="begin"/>
      </w:r>
      <w:r>
        <w:instrText xml:space="preserve"> PAGEREF _Toc15276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_Toc14423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2.1.2、 </w:t>
      </w:r>
      <w:r>
        <w:rPr>
          <w:rFonts w:hint="eastAsia"/>
          <w:lang w:val="en-US" w:eastAsia="zh-CN"/>
        </w:rPr>
        <w:t>一键</w:t>
      </w:r>
      <w:r>
        <w:t>检测</w:t>
      </w:r>
      <w:r>
        <w:tab/>
      </w:r>
      <w:r>
        <w:fldChar w:fldCharType="begin"/>
      </w:r>
      <w:r>
        <w:instrText xml:space="preserve"> PAGEREF _Toc14423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_Toc12445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2.2、 </w:t>
      </w:r>
      <w:r>
        <w:t>浏览器配置</w:t>
      </w:r>
      <w:r>
        <w:tab/>
      </w:r>
      <w:r>
        <w:fldChar w:fldCharType="begin"/>
      </w:r>
      <w:r>
        <w:instrText xml:space="preserve"> PAGEREF _Toc12445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_Toc13416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2.2.1、 </w:t>
      </w:r>
      <w:r>
        <w:t>Internet选项</w:t>
      </w:r>
      <w:r>
        <w:tab/>
      </w:r>
      <w:r>
        <w:fldChar w:fldCharType="begin"/>
      </w:r>
      <w:r>
        <w:instrText xml:space="preserve"> PAGEREF _Toc13416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_Toc31974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2.2.2、 </w:t>
      </w:r>
      <w:r>
        <w:t>关闭拦截工具</w:t>
      </w:r>
      <w:r>
        <w:tab/>
      </w:r>
      <w:r>
        <w:fldChar w:fldCharType="begin"/>
      </w:r>
      <w:r>
        <w:instrText xml:space="preserve"> PAGEREF _Toc31974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28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_Toc6843 </w:instrText>
      </w:r>
      <w:r>
        <w:rPr>
          <w:szCs w:val="20"/>
        </w:rPr>
        <w:fldChar w:fldCharType="separate"/>
      </w:r>
      <w:r>
        <w:rPr>
          <w:rFonts w:hint="eastAsia"/>
          <w:lang w:val="en-US"/>
        </w:rPr>
        <w:t xml:space="preserve">三、 </w:t>
      </w:r>
      <w:r>
        <w:rPr>
          <w:rFonts w:hint="eastAsia"/>
          <w:lang w:val="en-US" w:eastAsia="zh-CN"/>
        </w:rPr>
        <w:t>不见面开标大厅</w:t>
      </w:r>
      <w:r>
        <w:tab/>
      </w:r>
      <w:r>
        <w:fldChar w:fldCharType="begin"/>
      </w:r>
      <w:r>
        <w:instrText xml:space="preserve"> PAGEREF _Toc6843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_Toc17022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3.1、 </w:t>
      </w:r>
      <w:r>
        <w:rPr>
          <w:rFonts w:hint="eastAsia"/>
          <w:lang w:val="en-US" w:eastAsia="zh-CN"/>
        </w:rPr>
        <w:t>登录</w:t>
      </w:r>
      <w:r>
        <w:tab/>
      </w:r>
      <w:r>
        <w:fldChar w:fldCharType="begin"/>
      </w:r>
      <w:r>
        <w:instrText xml:space="preserve"> PAGEREF _Toc17022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_Toc20965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3.2、 </w:t>
      </w:r>
      <w:r>
        <w:rPr>
          <w:rFonts w:hint="eastAsia"/>
          <w:lang w:val="en-US" w:eastAsia="zh-CN"/>
        </w:rPr>
        <w:t>项目列表页面</w:t>
      </w:r>
      <w:r>
        <w:tab/>
      </w:r>
      <w:r>
        <w:fldChar w:fldCharType="begin"/>
      </w:r>
      <w:r>
        <w:instrText xml:space="preserve"> PAGEREF _Toc20965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_Toc12367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3.3、 </w:t>
      </w:r>
      <w:r>
        <w:rPr>
          <w:rFonts w:hint="eastAsia"/>
          <w:lang w:val="en-US" w:eastAsia="zh-CN"/>
        </w:rPr>
        <w:t>进入开标大厅</w:t>
      </w:r>
      <w:r>
        <w:tab/>
      </w:r>
      <w:r>
        <w:fldChar w:fldCharType="begin"/>
      </w:r>
      <w:r>
        <w:instrText xml:space="preserve"> PAGEREF _Toc12367 </w:instrText>
      </w:r>
      <w:r>
        <w:fldChar w:fldCharType="separate"/>
      </w:r>
      <w:r>
        <w:t>12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_Toc19747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3.4、 </w:t>
      </w:r>
      <w:r>
        <w:rPr>
          <w:rFonts w:hint="eastAsia"/>
          <w:lang w:val="en-US" w:eastAsia="zh-CN"/>
        </w:rPr>
        <w:t>等待开标</w:t>
      </w:r>
      <w:r>
        <w:tab/>
      </w:r>
      <w:r>
        <w:fldChar w:fldCharType="begin"/>
      </w:r>
      <w:r>
        <w:instrText xml:space="preserve"> PAGEREF _Toc19747 </w:instrText>
      </w:r>
      <w:r>
        <w:fldChar w:fldCharType="separate"/>
      </w:r>
      <w:r>
        <w:t>14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_Toc29851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3.5、 </w:t>
      </w:r>
      <w:r>
        <w:rPr>
          <w:rFonts w:hint="eastAsia"/>
          <w:lang w:val="en-US" w:eastAsia="zh-CN"/>
        </w:rPr>
        <w:t>公布投标人</w:t>
      </w:r>
      <w:r>
        <w:tab/>
      </w:r>
      <w:r>
        <w:fldChar w:fldCharType="begin"/>
      </w:r>
      <w:r>
        <w:instrText xml:space="preserve"> PAGEREF _Toc29851 </w:instrText>
      </w:r>
      <w:r>
        <w:fldChar w:fldCharType="separate"/>
      </w:r>
      <w:r>
        <w:t>14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_Toc20935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3.6、 </w:t>
      </w:r>
      <w:r>
        <w:rPr>
          <w:rFonts w:hint="eastAsia"/>
          <w:lang w:val="en-US" w:eastAsia="zh-CN"/>
        </w:rPr>
        <w:t>查看投标人名单</w:t>
      </w:r>
      <w:r>
        <w:tab/>
      </w:r>
      <w:r>
        <w:fldChar w:fldCharType="begin"/>
      </w:r>
      <w:r>
        <w:instrText xml:space="preserve"> PAGEREF _Toc20935 </w:instrText>
      </w:r>
      <w:r>
        <w:fldChar w:fldCharType="separate"/>
      </w:r>
      <w:r>
        <w:t>14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_Toc5949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3.7、 </w:t>
      </w:r>
      <w:r>
        <w:rPr>
          <w:rFonts w:hint="eastAsia"/>
          <w:lang w:val="en-US" w:eastAsia="zh-CN"/>
        </w:rPr>
        <w:t>投标人解密</w:t>
      </w:r>
      <w:r>
        <w:tab/>
      </w:r>
      <w:r>
        <w:fldChar w:fldCharType="begin"/>
      </w:r>
      <w:r>
        <w:instrText xml:space="preserve"> PAGEREF _Toc5949 </w:instrText>
      </w:r>
      <w:r>
        <w:fldChar w:fldCharType="separate"/>
      </w:r>
      <w:r>
        <w:t>16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_Toc26845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3.8、 </w:t>
      </w:r>
      <w:r>
        <w:rPr>
          <w:rFonts w:hint="eastAsia"/>
          <w:lang w:val="en-US" w:eastAsia="zh-CN"/>
        </w:rPr>
        <w:t>招标人解密</w:t>
      </w:r>
      <w:r>
        <w:tab/>
      </w:r>
      <w:r>
        <w:fldChar w:fldCharType="begin"/>
      </w:r>
      <w:r>
        <w:instrText xml:space="preserve"> PAGEREF _Toc26845 </w:instrText>
      </w:r>
      <w:r>
        <w:fldChar w:fldCharType="separate"/>
      </w:r>
      <w:r>
        <w:t>17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_Toc8996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3.9、 </w:t>
      </w:r>
      <w:r>
        <w:rPr>
          <w:rFonts w:hint="eastAsia"/>
          <w:lang w:val="en-US" w:eastAsia="zh-CN"/>
        </w:rPr>
        <w:t>系数抽取</w:t>
      </w:r>
      <w:r>
        <w:tab/>
      </w:r>
      <w:r>
        <w:fldChar w:fldCharType="begin"/>
      </w:r>
      <w:r>
        <w:instrText xml:space="preserve"> PAGEREF _Toc8996 </w:instrText>
      </w:r>
      <w:r>
        <w:fldChar w:fldCharType="separate"/>
      </w:r>
      <w:r>
        <w:t>17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_Toc26447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3.10、 </w:t>
      </w:r>
      <w:r>
        <w:rPr>
          <w:rFonts w:hint="eastAsia"/>
          <w:lang w:val="en-US" w:eastAsia="zh-CN"/>
        </w:rPr>
        <w:t>唱标</w:t>
      </w:r>
      <w:r>
        <w:tab/>
      </w:r>
      <w:r>
        <w:fldChar w:fldCharType="begin"/>
      </w:r>
      <w:r>
        <w:instrText xml:space="preserve"> PAGEREF _Toc26447 </w:instrText>
      </w:r>
      <w:r>
        <w:fldChar w:fldCharType="separate"/>
      </w:r>
      <w:r>
        <w:t>18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_Toc126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3.11、 </w:t>
      </w:r>
      <w:r>
        <w:rPr>
          <w:rFonts w:hint="eastAsia"/>
          <w:lang w:val="en-US" w:eastAsia="zh-CN"/>
        </w:rPr>
        <w:t>开标结束</w:t>
      </w:r>
      <w:r>
        <w:tab/>
      </w:r>
      <w:r>
        <w:fldChar w:fldCharType="begin"/>
      </w:r>
      <w:r>
        <w:instrText xml:space="preserve"> PAGEREF _Toc126 </w:instrText>
      </w:r>
      <w:r>
        <w:fldChar w:fldCharType="separate"/>
      </w:r>
      <w:r>
        <w:t>18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_Toc1998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3.12、 </w:t>
      </w:r>
      <w:r>
        <w:rPr>
          <w:rFonts w:hint="eastAsia"/>
        </w:rPr>
        <w:t>系数</w:t>
      </w:r>
      <w:r>
        <w:rPr>
          <w:rFonts w:hint="eastAsia"/>
          <w:lang w:val="en-US" w:eastAsia="zh-CN"/>
        </w:rPr>
        <w:t>录入（含系数抽取的项目）</w:t>
      </w:r>
      <w:r>
        <w:tab/>
      </w:r>
      <w:r>
        <w:fldChar w:fldCharType="begin"/>
      </w:r>
      <w:r>
        <w:instrText xml:space="preserve"> PAGEREF _Toc1998 </w:instrText>
      </w:r>
      <w:r>
        <w:fldChar w:fldCharType="separate"/>
      </w:r>
      <w:r>
        <w:t>19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_Toc11632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3.13、 </w:t>
      </w:r>
      <w:r>
        <w:rPr>
          <w:rFonts w:hint="eastAsia"/>
        </w:rPr>
        <w:t>异议</w:t>
      </w:r>
      <w:r>
        <w:tab/>
      </w:r>
      <w:r>
        <w:fldChar w:fldCharType="begin"/>
      </w:r>
      <w:r>
        <w:instrText xml:space="preserve"> PAGEREF _Toc11632 </w:instrText>
      </w:r>
      <w:r>
        <w:fldChar w:fldCharType="separate"/>
      </w:r>
      <w:r>
        <w:t>20</w:t>
      </w:r>
      <w:r>
        <w:fldChar w:fldCharType="end"/>
      </w:r>
      <w:r>
        <w:rPr>
          <w:szCs w:val="20"/>
        </w:rPr>
        <w:fldChar w:fldCharType="end"/>
      </w:r>
    </w:p>
    <w:p>
      <w:pPr>
        <w:pStyle w:val="57"/>
        <w:spacing w:line="240" w:lineRule="auto"/>
        <w:ind w:firstLine="360"/>
      </w:pPr>
      <w:r>
        <w:rPr>
          <w:szCs w:val="20"/>
        </w:rPr>
        <w:fldChar w:fldCharType="end"/>
      </w: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pStyle w:val="3"/>
      </w:pPr>
      <w:bookmarkStart w:id="0" w:name="_Toc18444"/>
      <w:bookmarkStart w:id="1" w:name="_Toc404765183"/>
      <w:bookmarkStart w:id="2" w:name="_Toc346183628"/>
      <w:bookmarkStart w:id="3" w:name="_Toc404764407"/>
      <w:bookmarkStart w:id="4" w:name="_Toc404243488"/>
      <w:bookmarkStart w:id="5" w:name="_Toc14887"/>
      <w:bookmarkStart w:id="6" w:name="_Toc346701610"/>
      <w:r>
        <w:t>驱动安装说明</w:t>
      </w:r>
      <w:bookmarkEnd w:id="0"/>
      <w:bookmarkEnd w:id="1"/>
      <w:bookmarkEnd w:id="2"/>
      <w:bookmarkEnd w:id="3"/>
      <w:bookmarkEnd w:id="4"/>
      <w:bookmarkEnd w:id="5"/>
      <w:bookmarkEnd w:id="6"/>
      <w:bookmarkStart w:id="71" w:name="_GoBack"/>
      <w:bookmarkEnd w:id="71"/>
    </w:p>
    <w:p>
      <w:pPr>
        <w:pStyle w:val="4"/>
      </w:pPr>
      <w:bookmarkStart w:id="7" w:name="_Toc404765184"/>
      <w:bookmarkStart w:id="8" w:name="_Toc404764408"/>
      <w:bookmarkStart w:id="9" w:name="_Toc346183629"/>
      <w:bookmarkStart w:id="10" w:name="_Toc11085"/>
      <w:bookmarkStart w:id="11" w:name="_Toc346701611"/>
      <w:bookmarkStart w:id="12" w:name="_Toc3945"/>
      <w:bookmarkStart w:id="13" w:name="_Toc404243489"/>
      <w:r>
        <w:t>安装驱动程序</w:t>
      </w:r>
      <w:bookmarkEnd w:id="7"/>
      <w:bookmarkEnd w:id="8"/>
      <w:bookmarkEnd w:id="9"/>
      <w:bookmarkEnd w:id="10"/>
      <w:bookmarkEnd w:id="11"/>
      <w:bookmarkEnd w:id="12"/>
      <w:bookmarkEnd w:id="13"/>
    </w:p>
    <w:p>
      <w:r>
        <w:t>1、</w:t>
      </w:r>
      <w:r>
        <w:rPr>
          <w:rFonts w:hint="eastAsia"/>
        </w:rPr>
        <w:t>IE11浏览器中打开</w:t>
      </w:r>
      <w:r>
        <w:rPr>
          <w:rFonts w:hint="eastAsia" w:ascii="宋体" w:hAnsi="宋体" w:eastAsia="宋体" w:cs="宋体"/>
          <w:sz w:val="24"/>
          <w:szCs w:val="24"/>
        </w:rPr>
        <w:t>https://download.bqpoint.com/?SourceFrom=Ztb&amp;ZtbSoftXiaQuCode=1203&amp;ZtbSoftType=DR&amp;SoftGuid=179c1716-0913-4138-b4d8-adc0f3692f8d&amp;RootGuid=fd78aba1-b9ad-4a73-91bf-61e65906e7e7&amp;softtypecode=06</w:t>
      </w:r>
      <w:r>
        <w:rPr>
          <w:rFonts w:hint="eastAsia" w:ascii="宋体" w:hAnsi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下载CA驱动。</w:t>
      </w:r>
    </w:p>
    <w:p>
      <w:pPr>
        <w:autoSpaceDE w:val="0"/>
        <w:autoSpaceDN w:val="0"/>
        <w:adjustRightInd w:val="0"/>
        <w:ind w:left="0" w:leftChars="0" w:right="-20" w:firstLine="0" w:firstLineChars="0"/>
        <w:jc w:val="both"/>
        <w:rPr>
          <w:spacing w:val="4"/>
        </w:rPr>
      </w:pPr>
      <w:r>
        <w:drawing>
          <wp:inline distT="0" distB="0" distL="114300" distR="114300">
            <wp:extent cx="5245735" cy="3338830"/>
            <wp:effectExtent l="0" t="0" r="12065" b="1397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右击以管理员身份运行</w:t>
      </w:r>
      <w:r>
        <w:drawing>
          <wp:inline distT="0" distB="0" distL="114300" distR="114300">
            <wp:extent cx="876300" cy="1000125"/>
            <wp:effectExtent l="0" t="0" r="0" b="952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可自行选择按照路径，选择之后点击“快速安装”，如下图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46370" cy="3935095"/>
            <wp:effectExtent l="0" t="0" r="11430" b="8255"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498" w:firstLineChars="200"/>
        <w:jc w:val="center"/>
        <w:rPr>
          <w:b/>
          <w:spacing w:val="4"/>
        </w:rPr>
      </w:pPr>
    </w:p>
    <w:p>
      <w:r>
        <w:t>3、</w:t>
      </w:r>
      <w:r>
        <w:rPr>
          <w:rFonts w:hint="eastAsia"/>
          <w:lang w:val="en-US" w:eastAsia="zh-CN"/>
        </w:rPr>
        <w:t>安装的时候，如果IE程序正在运行，关闭IE</w:t>
      </w:r>
      <w:r>
        <w:t>，</w:t>
      </w:r>
      <w:r>
        <w:rPr>
          <w:rFonts w:hint="eastAsia"/>
          <w:lang w:val="en-US" w:eastAsia="zh-CN"/>
        </w:rPr>
        <w:t>关闭IE之后，将继续安装，</w:t>
      </w:r>
      <w:r>
        <w:t>如下图：</w:t>
      </w:r>
    </w:p>
    <w:p>
      <w:pPr>
        <w:jc w:val="center"/>
      </w:pPr>
      <w:r>
        <w:drawing>
          <wp:inline distT="0" distB="0" distL="114300" distR="114300">
            <wp:extent cx="5168900" cy="3917950"/>
            <wp:effectExtent l="0" t="0" r="0" b="6350"/>
            <wp:docPr id="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46370" cy="3935095"/>
            <wp:effectExtent l="0" t="0" r="1143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pacing w:val="4"/>
        </w:rPr>
      </w:pPr>
    </w:p>
    <w:p>
      <w:r>
        <w:rPr>
          <w:rFonts w:hint="eastAsia"/>
          <w:lang w:val="en-US" w:eastAsia="zh-CN"/>
        </w:rPr>
        <w:t>4</w:t>
      </w:r>
      <w:r>
        <w:t>、</w:t>
      </w:r>
      <w:r>
        <w:rPr>
          <w:rFonts w:hint="eastAsia"/>
          <w:lang w:val="en-US" w:eastAsia="zh-CN"/>
        </w:rPr>
        <w:t>安装完成之后，点击“完成”即可</w:t>
      </w:r>
      <w:r>
        <w:t>，如下图：</w:t>
      </w:r>
    </w:p>
    <w:p>
      <w:pPr>
        <w:jc w:val="center"/>
      </w:pPr>
      <w:r>
        <w:drawing>
          <wp:inline distT="0" distB="0" distL="114300" distR="114300">
            <wp:extent cx="5246370" cy="3935095"/>
            <wp:effectExtent l="0" t="0" r="11430" b="8255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r>
        <w:rPr>
          <w:rFonts w:hint="eastAsia"/>
          <w:lang w:val="en-US" w:eastAsia="zh-CN"/>
        </w:rPr>
        <w:t>5</w:t>
      </w:r>
      <w:r>
        <w:t>、</w:t>
      </w:r>
      <w:r>
        <w:rPr>
          <w:rFonts w:hint="eastAsia"/>
          <w:lang w:val="en-US" w:eastAsia="zh-CN"/>
        </w:rPr>
        <w:t>安装完成之后，桌面会出现</w:t>
      </w:r>
      <w:r>
        <w:t>如下图</w:t>
      </w:r>
      <w:r>
        <w:rPr>
          <w:rFonts w:hint="eastAsia"/>
          <w:lang w:val="en-US" w:eastAsia="zh-CN"/>
        </w:rPr>
        <w:t>标</w:t>
      </w:r>
      <w:r>
        <w:t>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2"/>
      </w:pPr>
      <w:bookmarkStart w:id="14" w:name="_Toc404765182"/>
      <w:bookmarkStart w:id="15" w:name="_Toc404243487"/>
      <w:bookmarkStart w:id="16" w:name="_Toc404764406"/>
      <w:bookmarkStart w:id="17" w:name="_Toc20380"/>
      <w:bookmarkStart w:id="18" w:name="_Toc346183627"/>
      <w:bookmarkStart w:id="19" w:name="_Toc346701609"/>
      <w:r>
        <w:t>系统前期准备</w:t>
      </w:r>
      <w:bookmarkEnd w:id="14"/>
      <w:bookmarkEnd w:id="15"/>
      <w:bookmarkEnd w:id="16"/>
      <w:bookmarkEnd w:id="17"/>
      <w:bookmarkEnd w:id="18"/>
      <w:bookmarkEnd w:id="19"/>
    </w:p>
    <w:p>
      <w:pPr>
        <w:pStyle w:val="3"/>
      </w:pPr>
      <w:bookmarkStart w:id="20" w:name="_Toc346701615"/>
      <w:bookmarkStart w:id="21" w:name="_Toc404765188"/>
      <w:bookmarkStart w:id="22" w:name="_Toc346183633"/>
      <w:bookmarkStart w:id="23" w:name="_Toc404764412"/>
      <w:bookmarkStart w:id="24" w:name="_Toc404243493"/>
      <w:bookmarkStart w:id="25" w:name="_Toc8339"/>
      <w:r>
        <w:t>检测工具</w:t>
      </w:r>
      <w:bookmarkEnd w:id="20"/>
      <w:bookmarkEnd w:id="21"/>
      <w:bookmarkEnd w:id="22"/>
      <w:bookmarkEnd w:id="23"/>
      <w:bookmarkEnd w:id="24"/>
      <w:bookmarkEnd w:id="25"/>
    </w:p>
    <w:p>
      <w:pPr>
        <w:pStyle w:val="4"/>
        <w:widowControl/>
        <w:tabs>
          <w:tab w:val="clear" w:pos="567"/>
        </w:tabs>
      </w:pPr>
      <w:bookmarkStart w:id="26" w:name="_Toc404764413"/>
      <w:bookmarkStart w:id="27" w:name="_Toc346183634"/>
      <w:bookmarkStart w:id="28" w:name="_Toc346701616"/>
      <w:bookmarkStart w:id="29" w:name="_Toc404765189"/>
      <w:bookmarkStart w:id="30" w:name="_Toc404243494"/>
      <w:bookmarkStart w:id="31" w:name="_Toc15276"/>
      <w:r>
        <w:t>启动检测工具</w:t>
      </w:r>
      <w:bookmarkEnd w:id="26"/>
      <w:bookmarkEnd w:id="27"/>
      <w:bookmarkEnd w:id="28"/>
      <w:bookmarkEnd w:id="29"/>
      <w:bookmarkEnd w:id="30"/>
      <w:bookmarkEnd w:id="31"/>
    </w:p>
    <w:p>
      <w:r>
        <w:t>用户可以点击桌面上的</w:t>
      </w:r>
      <w:r>
        <w:rPr>
          <w:rFonts w:hint="eastAsia"/>
          <w:lang w:val="en-US" w:eastAsia="zh-CN"/>
        </w:rPr>
        <w:t>开标大厅</w:t>
      </w:r>
      <w:r>
        <w:t>检测工具图标来启动检测工具，如下图：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498" w:firstLineChars="200"/>
        <w:rPr>
          <w:b/>
          <w:spacing w:val="4"/>
        </w:rPr>
      </w:pPr>
    </w:p>
    <w:p>
      <w:pPr>
        <w:pStyle w:val="4"/>
        <w:widowControl/>
        <w:tabs>
          <w:tab w:val="clear" w:pos="567"/>
        </w:tabs>
      </w:pPr>
      <w:bookmarkStart w:id="32" w:name="_Toc346701617"/>
      <w:bookmarkStart w:id="33" w:name="_Toc404764414"/>
      <w:bookmarkStart w:id="34" w:name="_Toc404765190"/>
      <w:bookmarkStart w:id="35" w:name="_Toc346183635"/>
      <w:bookmarkStart w:id="36" w:name="_Toc404243495"/>
      <w:bookmarkStart w:id="37" w:name="_Toc14423"/>
      <w:r>
        <w:rPr>
          <w:rFonts w:hint="eastAsia"/>
          <w:lang w:val="en-US" w:eastAsia="zh-CN"/>
        </w:rPr>
        <w:t>一键</w:t>
      </w:r>
      <w:r>
        <w:t>检测</w:t>
      </w:r>
      <w:bookmarkEnd w:id="32"/>
      <w:bookmarkEnd w:id="33"/>
      <w:bookmarkEnd w:id="34"/>
      <w:bookmarkEnd w:id="35"/>
      <w:bookmarkEnd w:id="36"/>
      <w:bookmarkEnd w:id="37"/>
    </w:p>
    <w:p>
      <w:pPr>
        <w:rPr>
          <w:spacing w:val="4"/>
        </w:rPr>
      </w:pPr>
      <w:r>
        <w:rPr>
          <w:rFonts w:hint="eastAsia"/>
          <w:spacing w:val="4"/>
          <w:lang w:val="en-US" w:eastAsia="zh-CN"/>
        </w:rPr>
        <w:t>打开页面之后，插入锁，点击“不见面开标检测”，如果IE正在运行，关闭IE</w:t>
      </w:r>
      <w:r>
        <w:rPr>
          <w:spacing w:val="4"/>
        </w:rPr>
        <w:t>。</w:t>
      </w:r>
    </w:p>
    <w:p>
      <w:pPr>
        <w:ind w:left="0" w:leftChars="0" w:firstLine="0" w:firstLineChars="0"/>
        <w:rPr>
          <w:spacing w:val="4"/>
        </w:rPr>
      </w:pPr>
      <w:r>
        <w:drawing>
          <wp:inline distT="0" distB="0" distL="114300" distR="114300">
            <wp:extent cx="5243195" cy="3308985"/>
            <wp:effectExtent l="0" t="0" r="14605" b="5715"/>
            <wp:docPr id="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0" w:firstLineChars="0"/>
        <w:jc w:val="center"/>
        <w:rPr>
          <w:b/>
          <w:spacing w:val="4"/>
        </w:rPr>
      </w:pPr>
    </w:p>
    <w:p>
      <w:pPr>
        <w:ind w:firstLine="436"/>
        <w:rPr>
          <w:spacing w:val="4"/>
        </w:rPr>
      </w:pPr>
    </w:p>
    <w:p>
      <w:pPr>
        <w:pStyle w:val="3"/>
      </w:pPr>
      <w:bookmarkStart w:id="38" w:name="_Toc346183639"/>
      <w:bookmarkStart w:id="39" w:name="_Toc12445"/>
      <w:bookmarkStart w:id="40" w:name="_Toc346701621"/>
      <w:bookmarkStart w:id="41" w:name="_Toc404243499"/>
      <w:bookmarkStart w:id="42" w:name="_Toc404764418"/>
      <w:bookmarkStart w:id="43" w:name="_Toc404765194"/>
      <w:r>
        <w:t>浏览器配置</w:t>
      </w:r>
      <w:bookmarkEnd w:id="38"/>
      <w:bookmarkEnd w:id="39"/>
      <w:bookmarkEnd w:id="40"/>
      <w:bookmarkEnd w:id="41"/>
      <w:bookmarkEnd w:id="42"/>
      <w:bookmarkEnd w:id="43"/>
    </w:p>
    <w:p>
      <w:pPr>
        <w:pStyle w:val="4"/>
        <w:widowControl/>
        <w:tabs>
          <w:tab w:val="clear" w:pos="567"/>
        </w:tabs>
      </w:pPr>
      <w:bookmarkStart w:id="44" w:name="_Toc404764419"/>
      <w:bookmarkStart w:id="45" w:name="_Toc346183640"/>
      <w:bookmarkStart w:id="46" w:name="_Toc404765195"/>
      <w:bookmarkStart w:id="47" w:name="_Toc346701622"/>
      <w:bookmarkStart w:id="48" w:name="_Toc13416"/>
      <w:bookmarkStart w:id="49" w:name="_Toc404243500"/>
      <w:r>
        <w:t>Internet选项</w:t>
      </w:r>
      <w:bookmarkEnd w:id="44"/>
      <w:bookmarkEnd w:id="45"/>
      <w:bookmarkEnd w:id="46"/>
      <w:bookmarkEnd w:id="47"/>
      <w:bookmarkEnd w:id="48"/>
      <w:bookmarkEnd w:id="49"/>
    </w:p>
    <w:p>
      <w:r>
        <w:t>为了让系统插件能够正常工作，请按照以下步骤进行浏览器的配置。</w:t>
      </w:r>
    </w:p>
    <w:p>
      <w:r>
        <w:t>1、打开浏览器，在“工具”菜单→“Internet选项”，如下图：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62350" cy="3152775"/>
            <wp:effectExtent l="0" t="0" r="6350" b="9525"/>
            <wp:docPr id="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2、弹出对话框之后，请选择“安全”选项卡，具体的界面，如下图：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2914650" cy="3476625"/>
            <wp:effectExtent l="0" t="0" r="6350" b="3175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3、点击绿色的“受信任的站点”的图片，如下图：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648075" cy="3895725"/>
            <wp:effectExtent l="0" t="0" r="9525" b="3175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4、点击“站点”按钮，出现如下对话框，如下图：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743325" cy="3048000"/>
            <wp:effectExtent l="0" t="0" r="3175" b="0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pacing w:val="4"/>
        </w:rPr>
      </w:pPr>
      <w:r>
        <w:t>输入系统服务器的IP地址，格式例如：192.168.0.123，然后点击“添加”按钮完成添加，再按“关闭”按钮退出</w:t>
      </w:r>
      <w:r>
        <w:rPr>
          <w:spacing w:val="4"/>
        </w:rPr>
        <w:t>。</w:t>
      </w:r>
    </w:p>
    <w:p>
      <w:r>
        <w:t>5、设置自定义安全级别，开放Activex的访问权限，如下图：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33775" cy="4152900"/>
            <wp:effectExtent l="0" t="0" r="9525" b="0"/>
            <wp:docPr id="1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会出现一个窗口，把其中的Activex控件和插件的设置全部改为启用，如下图：</w:t>
      </w:r>
    </w:p>
    <w:p>
      <w:pPr>
        <w:jc w:val="center"/>
        <w:rPr>
          <w:spacing w:val="4"/>
        </w:rPr>
      </w:pPr>
      <w:r>
        <w:drawing>
          <wp:inline distT="0" distB="0" distL="114300" distR="114300">
            <wp:extent cx="3486150" cy="3676650"/>
            <wp:effectExtent l="0" t="0" r="6350" b="635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文件下载设置，开放文件下载的权限：设置为启用，如下图：</w:t>
      </w:r>
    </w:p>
    <w:p>
      <w:pPr>
        <w:jc w:val="center"/>
      </w:pPr>
      <w:r>
        <w:rPr>
          <w:spacing w:val="4"/>
        </w:rPr>
        <w:drawing>
          <wp:inline distT="0" distB="0" distL="114300" distR="114300">
            <wp:extent cx="3524250" cy="3705225"/>
            <wp:effectExtent l="0" t="0" r="6350" b="3175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widowControl/>
        <w:tabs>
          <w:tab w:val="clear" w:pos="567"/>
        </w:tabs>
      </w:pPr>
      <w:bookmarkStart w:id="50" w:name="_Toc404764420"/>
      <w:bookmarkStart w:id="51" w:name="_Toc346183641"/>
      <w:bookmarkStart w:id="52" w:name="_Toc404765196"/>
      <w:bookmarkStart w:id="53" w:name="_Toc346701623"/>
      <w:bookmarkStart w:id="54" w:name="_Toc31974"/>
      <w:bookmarkStart w:id="55" w:name="_Toc404243501"/>
      <w:r>
        <w:t>关闭拦截工具</w:t>
      </w:r>
      <w:bookmarkEnd w:id="50"/>
      <w:bookmarkEnd w:id="51"/>
      <w:bookmarkEnd w:id="52"/>
      <w:bookmarkEnd w:id="53"/>
      <w:bookmarkEnd w:id="54"/>
      <w:bookmarkEnd w:id="55"/>
    </w:p>
    <w:p>
      <w:r>
        <w:t>上述操作完成后，如果系统中某些功能仍不能使用，请将拦截工具关闭再试用。比如在windows工具栏中关闭弹出窗口阻止程序的操作，如下图：</w:t>
      </w:r>
    </w:p>
    <w:p>
      <w:pPr>
        <w:pStyle w:val="57"/>
        <w:ind w:firstLine="480" w:firstLineChars="200"/>
        <w:jc w:val="center"/>
      </w:pPr>
      <w:r>
        <w:drawing>
          <wp:inline distT="0" distB="0" distL="114300" distR="114300">
            <wp:extent cx="5095875" cy="2324100"/>
            <wp:effectExtent l="0" t="0" r="9525" b="0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/>
    <w:p>
      <w:pPr>
        <w:pStyle w:val="2"/>
      </w:pPr>
      <w:bookmarkStart w:id="56" w:name="_Toc6843"/>
      <w:r>
        <w:rPr>
          <w:rFonts w:hint="eastAsia"/>
          <w:lang w:val="en-US" w:eastAsia="zh-CN"/>
        </w:rPr>
        <w:t>不见面开标大厅</w:t>
      </w:r>
      <w:bookmarkEnd w:id="56"/>
    </w:p>
    <w:p>
      <w:r>
        <w:t>本系统主要提供给</w:t>
      </w:r>
      <w:r>
        <w:rPr>
          <w:rFonts w:hint="eastAsia"/>
          <w:lang w:val="en-US" w:eastAsia="zh-CN"/>
        </w:rPr>
        <w:t>监管人</w:t>
      </w:r>
      <w:r>
        <w:t>使用，实现</w:t>
      </w:r>
      <w:r>
        <w:rPr>
          <w:rFonts w:hint="eastAsia"/>
          <w:lang w:val="en-US" w:eastAsia="zh-CN"/>
        </w:rPr>
        <w:t>监管人员登录、查看今日项目、监管整个开标过程等功能</w:t>
      </w:r>
      <w:r>
        <w:t>。</w:t>
      </w:r>
    </w:p>
    <w:p>
      <w:pPr>
        <w:pStyle w:val="3"/>
      </w:pPr>
      <w:bookmarkStart w:id="57" w:name="_Toc17022"/>
      <w:r>
        <w:rPr>
          <w:rFonts w:hint="eastAsia"/>
          <w:lang w:val="en-US" w:eastAsia="zh-CN"/>
        </w:rPr>
        <w:t>登录</w:t>
      </w:r>
      <w:bookmarkEnd w:id="57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  <w:b w:val="0"/>
          <w:bCs w:val="0"/>
          <w:lang w:val="en-US" w:eastAsia="zh-CN"/>
        </w:rPr>
        <w:t>监管</w:t>
      </w:r>
      <w:r>
        <w:rPr>
          <w:rFonts w:hint="eastAsia"/>
          <w:lang w:val="en-US" w:eastAsia="zh-CN"/>
        </w:rPr>
        <w:t>人登录系统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rFonts w:hint="eastAsia"/>
          <w:b w:val="0"/>
          <w:bCs w:val="0"/>
          <w:lang w:val="en-US" w:eastAsia="zh-CN"/>
        </w:rPr>
        <w:t>监管</w:t>
      </w:r>
      <w:r>
        <w:rPr>
          <w:rFonts w:hint="eastAsia"/>
          <w:lang w:val="en-US" w:eastAsia="zh-CN"/>
        </w:rPr>
        <w:t>人</w:t>
      </w:r>
      <w:r>
        <w:rPr>
          <w:rFonts w:hint="eastAsia"/>
          <w:b w:val="0"/>
          <w:bCs w:val="0"/>
          <w:lang w:val="en-US" w:eastAsia="zh-CN"/>
        </w:rPr>
        <w:t>在开标大厅注册过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3"/>
        </w:numPr>
      </w:pPr>
      <w:r>
        <w:rPr>
          <w:rFonts w:hint="eastAsia"/>
          <w:lang w:val="en-US" w:eastAsia="zh-CN"/>
        </w:rPr>
        <w:t>打开登录页面</w:t>
      </w:r>
      <w:r>
        <w:t>，如下图：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38750" cy="2328545"/>
            <wp:effectExtent l="0" t="0" r="0" b="1460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r>
        <w:t>2、</w:t>
      </w:r>
      <w:r>
        <w:rPr>
          <w:rFonts w:hint="eastAsia"/>
          <w:lang w:val="en-US" w:eastAsia="zh-CN"/>
        </w:rPr>
        <w:t>点击“登录”，在左侧选择“监管人”身份，输入账号密码，点击“登录”</w:t>
      </w:r>
      <w:r>
        <w:t>：</w:t>
      </w:r>
    </w:p>
    <w:p>
      <w:pPr>
        <w:ind w:firstLine="0" w:firstLineChars="0"/>
      </w:pPr>
    </w:p>
    <w:p>
      <w:pPr>
        <w:ind w:left="0" w:leftChars="0" w:firstLine="0" w:firstLineChars="0"/>
      </w:pPr>
      <w:r>
        <w:drawing>
          <wp:inline distT="0" distB="0" distL="114300" distR="114300">
            <wp:extent cx="5238750" cy="2328545"/>
            <wp:effectExtent l="0" t="0" r="0" b="1460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8" w:name="_Toc20965"/>
      <w:r>
        <w:rPr>
          <w:rFonts w:hint="eastAsia"/>
          <w:lang w:val="en-US" w:eastAsia="zh-CN"/>
        </w:rPr>
        <w:t>项目列表页面</w:t>
      </w:r>
      <w:bookmarkEnd w:id="58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  <w:b w:val="0"/>
          <w:bCs w:val="0"/>
          <w:lang w:val="en-US" w:eastAsia="zh-CN"/>
        </w:rPr>
        <w:t>监管人登录之后可以看到今日开标标段以及历史标段</w:t>
      </w:r>
      <w:r>
        <w:t>。</w:t>
      </w:r>
    </w:p>
    <w:p>
      <w:pPr>
        <w:ind w:firstLine="422"/>
        <w:rPr>
          <w:rFonts w:hint="eastAsia" w:eastAsia="宋体"/>
          <w:b/>
          <w:bCs/>
          <w:lang w:val="en-US" w:eastAsia="zh-CN"/>
        </w:rPr>
      </w:pPr>
      <w:r>
        <w:rPr>
          <w:b/>
          <w:bCs/>
        </w:rPr>
        <w:t>前置条件：</w:t>
      </w:r>
      <w:r>
        <w:rPr>
          <w:rFonts w:hint="eastAsia"/>
          <w:b w:val="0"/>
          <w:bCs w:val="0"/>
          <w:lang w:val="en-US" w:eastAsia="zh-CN"/>
        </w:rPr>
        <w:t>无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r>
        <w:t>1、</w:t>
      </w:r>
      <w:r>
        <w:rPr>
          <w:rFonts w:hint="eastAsia"/>
          <w:lang w:val="en-US" w:eastAsia="zh-CN"/>
        </w:rPr>
        <w:t>右上角有“退出”按钮，点击可退出系统</w:t>
      </w:r>
      <w:r>
        <w:t>，</w:t>
      </w:r>
      <w:r>
        <w:rPr>
          <w:rFonts w:hint="eastAsia"/>
          <w:lang w:val="en-US" w:eastAsia="zh-CN"/>
        </w:rPr>
        <w:t>中间项目列表区域右上角可根据标段名称或者标段编号查询，</w:t>
      </w:r>
      <w:r>
        <w:t>如下图：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39385" cy="2915920"/>
            <wp:effectExtent l="0" t="0" r="5715" b="508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9" w:name="_Toc12367"/>
      <w:r>
        <w:rPr>
          <w:rFonts w:hint="eastAsia"/>
          <w:lang w:val="en-US" w:eastAsia="zh-CN"/>
        </w:rPr>
        <w:t>进入开标大厅</w:t>
      </w:r>
      <w:bookmarkEnd w:id="59"/>
    </w:p>
    <w:p>
      <w:pPr>
        <w:ind w:firstLine="422"/>
        <w:rPr>
          <w:b w:val="0"/>
          <w:bCs/>
        </w:rPr>
      </w:pPr>
      <w:r>
        <w:rPr>
          <w:b/>
        </w:rPr>
        <w:t>功能说明：</w:t>
      </w:r>
      <w:r>
        <w:rPr>
          <w:rFonts w:hint="eastAsia"/>
          <w:b w:val="0"/>
          <w:bCs/>
          <w:lang w:val="en-US" w:eastAsia="zh-CN"/>
        </w:rPr>
        <w:t>页面基本内容介绍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无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4"/>
        </w:numPr>
      </w:pPr>
      <w:r>
        <w:rPr>
          <w:rFonts w:hint="eastAsia"/>
          <w:lang w:val="en-US" w:eastAsia="zh-CN"/>
        </w:rPr>
        <w:t>进入页面首先阅读开标流程，点击“我已阅读”进入开标大厅，点击“取消”返回项目列表页面</w:t>
      </w:r>
      <w:r>
        <w:t>。</w:t>
      </w:r>
    </w:p>
    <w:p>
      <w:pPr>
        <w:numPr>
          <w:ilvl w:val="0"/>
          <w:numId w:val="0"/>
        </w:num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03575" cy="3309620"/>
            <wp:effectExtent l="0" t="0" r="9525" b="5080"/>
            <wp:docPr id="35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 descr="IMG_25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3309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页面上方展示基础信息、右上方有“返回”按钮，点击返回项目列表页面；</w:t>
      </w:r>
    </w:p>
    <w:p>
      <w:pPr>
        <w:numPr>
          <w:ilvl w:val="0"/>
          <w:numId w:val="4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左侧中间部分是开标环节展示，不同开标过程展示不同的内容；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242560" cy="2879090"/>
            <wp:effectExtent l="0" t="0" r="15240" b="16510"/>
            <wp:docPr id="6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右侧上部分为直播，直播开标场景，主持人开启直播直接即可观看；</w:t>
      </w:r>
    </w:p>
    <w:p>
      <w:pPr>
        <w:numPr>
          <w:ilvl w:val="0"/>
          <w:numId w:val="4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右侧下部分是公告栏，主要展示阶段信息、主持人切换视频、解密等信息；点击右上角放大镜可查看更多；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3830" cy="2940050"/>
            <wp:effectExtent l="0" t="0" r="13970" b="12700"/>
            <wp:docPr id="6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5100" cy="2684780"/>
            <wp:effectExtent l="0" t="0" r="0" b="7620"/>
            <wp:docPr id="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</w:p>
    <w:p>
      <w:pPr>
        <w:pStyle w:val="3"/>
      </w:pPr>
      <w:bookmarkStart w:id="60" w:name="_Toc19747"/>
      <w:r>
        <w:rPr>
          <w:rFonts w:hint="eastAsia"/>
          <w:lang w:val="en-US" w:eastAsia="zh-CN"/>
        </w:rPr>
        <w:t>等待开标</w:t>
      </w:r>
      <w:bookmarkEnd w:id="60"/>
    </w:p>
    <w:p>
      <w:pPr>
        <w:ind w:firstLine="422"/>
        <w:rPr>
          <w:b w:val="0"/>
          <w:bCs/>
        </w:rPr>
      </w:pPr>
      <w:r>
        <w:rPr>
          <w:b/>
        </w:rPr>
        <w:t>功能说明：</w:t>
      </w:r>
      <w:r>
        <w:rPr>
          <w:rFonts w:hint="eastAsia"/>
          <w:b w:val="0"/>
          <w:bCs/>
          <w:lang w:val="en-US" w:eastAsia="zh-CN"/>
        </w:rPr>
        <w:t>主持人在等待开标时可开启直播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无</w:t>
      </w:r>
      <w:r>
        <w:rPr>
          <w:b w:val="0"/>
          <w:bCs/>
        </w:rPr>
        <w:t>。</w:t>
      </w:r>
    </w:p>
    <w:p>
      <w:pPr>
        <w:ind w:firstLine="422"/>
        <w:rPr>
          <w:rFonts w:hint="eastAsia" w:eastAsia="宋体"/>
          <w:b/>
          <w:bCs/>
          <w:lang w:val="en-US" w:eastAsia="zh-CN"/>
        </w:rPr>
      </w:pPr>
      <w:r>
        <w:rPr>
          <w:b/>
          <w:bCs/>
        </w:rPr>
        <w:t>操作步骤：</w:t>
      </w:r>
    </w:p>
    <w:p>
      <w:pPr>
        <w:numPr>
          <w:ilvl w:val="0"/>
          <w:numId w:val="5"/>
        </w:num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可查看所有人员在线情况，左侧中下方的座位图显示的是投标人签到在线情况，第一个座位是当前投标人的，蓝色代表在线，白色代表离线，有下角的√代表已签到；</w:t>
      </w:r>
    </w:p>
    <w:p>
      <w:pPr>
        <w:numPr>
          <w:ilvl w:val="0"/>
          <w:numId w:val="0"/>
        </w:numPr>
        <w:ind w:leftChars="200"/>
      </w:pPr>
      <w:r>
        <w:rPr>
          <w:rFonts w:hint="eastAsia"/>
          <w:lang w:val="en-US" w:eastAsia="zh-CN"/>
        </w:rPr>
        <w:t>在席：</w:t>
      </w:r>
      <w:r>
        <w:drawing>
          <wp:inline distT="0" distB="0" distL="114300" distR="114300">
            <wp:extent cx="676275" cy="628650"/>
            <wp:effectExtent l="0" t="0" r="9525" b="6350"/>
            <wp:docPr id="1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离席：</w:t>
      </w:r>
      <w:r>
        <w:drawing>
          <wp:inline distT="0" distB="0" distL="114300" distR="114300">
            <wp:extent cx="666750" cy="628650"/>
            <wp:effectExtent l="0" t="0" r="6350" b="6350"/>
            <wp:docPr id="1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已签到：</w:t>
      </w:r>
      <w:r>
        <w:drawing>
          <wp:inline distT="0" distB="0" distL="114300" distR="114300">
            <wp:extent cx="1724025" cy="676275"/>
            <wp:effectExtent l="0" t="0" r="3175" b="9525"/>
            <wp:docPr id="1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点击座位图下方“查看更过”，可以查看所有投标人情况；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</w:p>
    <w:p>
      <w:pPr>
        <w:pStyle w:val="3"/>
      </w:pPr>
      <w:bookmarkStart w:id="61" w:name="_Toc29851"/>
      <w:r>
        <w:rPr>
          <w:rFonts w:hint="eastAsia"/>
          <w:lang w:val="en-US" w:eastAsia="zh-CN"/>
        </w:rPr>
        <w:t>公布投标人</w:t>
      </w:r>
      <w:bookmarkEnd w:id="61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 w:val="0"/>
          <w:bCs/>
          <w:lang w:val="en-US" w:eastAsia="zh-CN"/>
        </w:rPr>
        <w:t>主持人公布投标人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开标时间已到</w:t>
      </w:r>
      <w:r>
        <w:t>。</w:t>
      </w:r>
    </w:p>
    <w:p>
      <w:pPr>
        <w:ind w:firstLine="422"/>
        <w:rPr>
          <w:rFonts w:hint="eastAsia" w:eastAsia="宋体"/>
          <w:lang w:val="en-US" w:eastAsia="zh-CN"/>
        </w:rPr>
      </w:pPr>
      <w:r>
        <w:rPr>
          <w:b/>
          <w:bCs/>
        </w:rPr>
        <w:t>操作步骤：</w:t>
      </w:r>
      <w:r>
        <w:rPr>
          <w:rFonts w:hint="eastAsia"/>
          <w:b w:val="0"/>
          <w:bCs w:val="0"/>
          <w:lang w:val="en-US" w:eastAsia="zh-CN"/>
        </w:rPr>
        <w:t>无，观看即可；</w:t>
      </w:r>
    </w:p>
    <w:p>
      <w:pPr>
        <w:pStyle w:val="3"/>
      </w:pPr>
      <w:bookmarkStart w:id="62" w:name="_Toc20935"/>
      <w:r>
        <w:rPr>
          <w:rFonts w:hint="eastAsia"/>
          <w:lang w:val="en-US" w:eastAsia="zh-CN"/>
        </w:rPr>
        <w:t>查看投标人名单</w:t>
      </w:r>
      <w:bookmarkEnd w:id="62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 w:val="0"/>
          <w:bCs/>
          <w:lang w:val="en-US" w:eastAsia="zh-CN"/>
        </w:rPr>
        <w:t>查看投标人名单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主持人已公布投标人</w:t>
      </w:r>
      <w:r>
        <w:t>。</w:t>
      </w:r>
    </w:p>
    <w:p>
      <w:pPr>
        <w:ind w:firstLine="422"/>
        <w:rPr>
          <w:rFonts w:hint="eastAsia" w:eastAsia="宋体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注：最终撤销的单位无需参加后续流程；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6"/>
        </w:numPr>
        <w:ind w:firstLine="422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主持人撤销投标文件后，可查看主持人撤销的投标文件的撤销原因；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3195" cy="2948305"/>
            <wp:effectExtent l="0" t="0" r="1905" b="10795"/>
            <wp:docPr id="2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点击“取消撤销”按钮即可取消撤销；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3195" cy="2948305"/>
            <wp:effectExtent l="0" t="0" r="1905" b="10795"/>
            <wp:docPr id="2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3195" cy="2948305"/>
            <wp:effectExtent l="0" t="0" r="1905" b="10795"/>
            <wp:docPr id="2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主持人可点击右上角打印按钮，点击可打印投标人名单；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5100" cy="2948305"/>
            <wp:effectExtent l="0" t="0" r="0" b="10795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</w:p>
    <w:p>
      <w:pPr>
        <w:pStyle w:val="3"/>
      </w:pPr>
      <w:bookmarkStart w:id="63" w:name="_Toc5949"/>
      <w:r>
        <w:rPr>
          <w:rFonts w:hint="eastAsia"/>
          <w:lang w:val="en-US" w:eastAsia="zh-CN"/>
        </w:rPr>
        <w:t>投标人解密</w:t>
      </w:r>
      <w:bookmarkEnd w:id="63"/>
    </w:p>
    <w:p>
      <w:pPr>
        <w:ind w:firstLine="422"/>
        <w:rPr>
          <w:b w:val="0"/>
          <w:bCs/>
        </w:rPr>
      </w:pPr>
      <w:r>
        <w:rPr>
          <w:b/>
          <w:bCs w:val="0"/>
        </w:rPr>
        <w:t>功能说明：</w:t>
      </w:r>
      <w:r>
        <w:rPr>
          <w:rFonts w:hint="eastAsia"/>
          <w:b w:val="0"/>
          <w:bCs/>
          <w:lang w:val="en-US" w:eastAsia="zh-CN"/>
        </w:rPr>
        <w:t>投标人进行解密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公布投标人之后</w:t>
      </w:r>
      <w:r>
        <w:t>。</w:t>
      </w:r>
    </w:p>
    <w:p>
      <w:pPr>
        <w:numPr>
          <w:ilvl w:val="0"/>
          <w:numId w:val="0"/>
        </w:numPr>
        <w:ind w:firstLine="422" w:firstLineChars="200"/>
      </w:pPr>
      <w:r>
        <w:rPr>
          <w:b/>
          <w:bCs/>
        </w:rPr>
        <w:t>操作步骤：</w:t>
      </w:r>
    </w:p>
    <w:p>
      <w:pPr>
        <w:numPr>
          <w:ilvl w:val="0"/>
          <w:numId w:val="7"/>
        </w:numPr>
        <w:ind w:left="0" w:leftChars="0"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解密成功的单位的图标变为绿色开锁图标；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243830" cy="3102610"/>
            <wp:effectExtent l="0" t="0" r="13970" b="2540"/>
            <wp:docPr id="6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10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4" w:name="_Toc26845"/>
      <w:r>
        <w:rPr>
          <w:rFonts w:hint="eastAsia"/>
          <w:lang w:val="en-US" w:eastAsia="zh-CN"/>
        </w:rPr>
        <w:t>招标人解密</w:t>
      </w:r>
      <w:bookmarkEnd w:id="64"/>
    </w:p>
    <w:p>
      <w:pPr>
        <w:ind w:firstLine="422"/>
        <w:rPr>
          <w:b w:val="0"/>
          <w:bCs/>
        </w:rPr>
      </w:pPr>
      <w:r>
        <w:rPr>
          <w:b/>
          <w:bCs w:val="0"/>
        </w:rPr>
        <w:t>功能说明：</w:t>
      </w:r>
      <w:r>
        <w:rPr>
          <w:rFonts w:hint="eastAsia"/>
          <w:b w:val="0"/>
          <w:bCs/>
          <w:lang w:val="en-US" w:eastAsia="zh-CN"/>
        </w:rPr>
        <w:t>招标人解密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投标人全部解密完成，或者解密时间已到</w:t>
      </w:r>
      <w:r>
        <w:t>。</w:t>
      </w:r>
    </w:p>
    <w:p>
      <w:pPr>
        <w:numPr>
          <w:ilvl w:val="0"/>
          <w:numId w:val="0"/>
        </w:numPr>
        <w:ind w:leftChars="200"/>
        <w:rPr>
          <w:rFonts w:hint="eastAsia"/>
          <w:b w:val="0"/>
          <w:bCs w:val="0"/>
          <w:lang w:val="en-US" w:eastAsia="zh-CN"/>
        </w:rPr>
      </w:pPr>
      <w:r>
        <w:rPr>
          <w:b/>
          <w:bCs/>
        </w:rPr>
        <w:t>操作步骤：</w:t>
      </w:r>
      <w:r>
        <w:rPr>
          <w:rFonts w:hint="eastAsia"/>
          <w:b w:val="0"/>
          <w:bCs w:val="0"/>
          <w:lang w:val="en-US" w:eastAsia="zh-CN"/>
        </w:rPr>
        <w:t>观看即可；</w:t>
      </w:r>
    </w:p>
    <w:p>
      <w:pPr>
        <w:numPr>
          <w:ilvl w:val="0"/>
          <w:numId w:val="0"/>
        </w:numPr>
        <w:rPr>
          <w:rFonts w:hint="eastAsia"/>
          <w:b w:val="0"/>
          <w:bCs w:val="0"/>
          <w:lang w:val="en-US" w:eastAsia="zh-CN"/>
        </w:rPr>
      </w:pPr>
      <w:r>
        <w:drawing>
          <wp:inline distT="0" distB="0" distL="114300" distR="114300">
            <wp:extent cx="5239385" cy="3083560"/>
            <wp:effectExtent l="0" t="0" r="18415" b="2540"/>
            <wp:docPr id="6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b w:val="0"/>
          <w:bCs w:val="0"/>
          <w:lang w:val="en-US" w:eastAsia="zh-CN"/>
        </w:rPr>
      </w:pPr>
    </w:p>
    <w:p>
      <w:pPr>
        <w:pStyle w:val="3"/>
      </w:pPr>
      <w:bookmarkStart w:id="65" w:name="_Toc26447"/>
      <w:r>
        <w:rPr>
          <w:rFonts w:hint="eastAsia"/>
          <w:lang w:val="en-US" w:eastAsia="zh-CN"/>
        </w:rPr>
        <w:t>唱标</w:t>
      </w:r>
      <w:bookmarkEnd w:id="65"/>
    </w:p>
    <w:p>
      <w:pPr>
        <w:ind w:firstLine="422"/>
        <w:rPr>
          <w:b w:val="0"/>
          <w:bCs/>
        </w:rPr>
      </w:pPr>
      <w:r>
        <w:rPr>
          <w:b/>
          <w:bCs w:val="0"/>
        </w:rPr>
        <w:t>功能说明：</w:t>
      </w:r>
      <w:r>
        <w:rPr>
          <w:rFonts w:hint="eastAsia"/>
          <w:b w:val="0"/>
          <w:bCs/>
          <w:lang w:val="en-US" w:eastAsia="zh-CN"/>
        </w:rPr>
        <w:t>唱标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批量导入成功</w:t>
      </w:r>
      <w:r>
        <w:t>。</w:t>
      </w:r>
    </w:p>
    <w:p>
      <w:pPr>
        <w:numPr>
          <w:ilvl w:val="0"/>
          <w:numId w:val="0"/>
        </w:numPr>
        <w:ind w:leftChars="200"/>
        <w:rPr>
          <w:rFonts w:hint="eastAsia" w:eastAsia="宋体"/>
          <w:lang w:val="en-US" w:eastAsia="zh-CN"/>
        </w:rPr>
      </w:pPr>
      <w:r>
        <w:rPr>
          <w:b/>
          <w:bCs/>
        </w:rPr>
        <w:t>操作步骤：</w:t>
      </w:r>
      <w:r>
        <w:rPr>
          <w:rFonts w:hint="eastAsia"/>
          <w:b w:val="0"/>
          <w:bCs w:val="0"/>
          <w:lang w:val="en-US" w:eastAsia="zh-CN"/>
        </w:rPr>
        <w:t>观看即可；</w:t>
      </w:r>
    </w:p>
    <w:p>
      <w:pPr>
        <w:pStyle w:val="3"/>
      </w:pPr>
      <w:bookmarkStart w:id="66" w:name="_Toc126"/>
      <w:r>
        <w:rPr>
          <w:rFonts w:hint="eastAsia"/>
          <w:lang w:val="en-US" w:eastAsia="zh-CN"/>
        </w:rPr>
        <w:t>开标结束</w:t>
      </w:r>
      <w:bookmarkEnd w:id="66"/>
    </w:p>
    <w:p>
      <w:pPr>
        <w:ind w:firstLine="422"/>
        <w:rPr>
          <w:b w:val="0"/>
          <w:bCs/>
        </w:rPr>
      </w:pPr>
      <w:r>
        <w:rPr>
          <w:b/>
          <w:bCs w:val="0"/>
        </w:rPr>
        <w:t>功能说明：</w:t>
      </w:r>
      <w:r>
        <w:rPr>
          <w:rFonts w:hint="eastAsia"/>
          <w:b w:val="0"/>
          <w:bCs/>
          <w:lang w:val="en-US" w:eastAsia="zh-CN"/>
        </w:rPr>
        <w:t>开标结束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唱标结束</w:t>
      </w:r>
      <w:r>
        <w:rPr>
          <w:b w:val="0"/>
          <w:bCs/>
        </w:rPr>
        <w:t>。</w:t>
      </w:r>
    </w:p>
    <w:p>
      <w:pPr>
        <w:numPr>
          <w:ilvl w:val="0"/>
          <w:numId w:val="0"/>
        </w:numPr>
        <w:ind w:firstLine="422" w:firstLineChars="200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8"/>
        </w:numPr>
        <w:ind w:firstLine="420" w:firstLineChars="20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开标结束之后，页面有“开标记录表”按钮，点击可打印开标记录表；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5100" cy="3134360"/>
            <wp:effectExtent l="0" t="0" r="12700" b="8890"/>
            <wp:docPr id="9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1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7005" cy="3228975"/>
            <wp:effectExtent l="0" t="0" r="10795" b="9525"/>
            <wp:docPr id="9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7" w:name="_Toc1998"/>
      <w:bookmarkStart w:id="68" w:name="_Toc7222"/>
      <w:r>
        <w:rPr>
          <w:rFonts w:hint="eastAsia"/>
        </w:rPr>
        <w:t>系数</w:t>
      </w:r>
      <w:r>
        <w:rPr>
          <w:rFonts w:hint="eastAsia"/>
          <w:lang w:val="en-US" w:eastAsia="zh-CN"/>
        </w:rPr>
        <w:t>录入（含系数抽取的项目）</w:t>
      </w:r>
      <w:bookmarkEnd w:id="67"/>
      <w:bookmarkEnd w:id="68"/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注意：</w:t>
      </w:r>
    </w:p>
    <w:p>
      <w:pPr>
        <w:numPr>
          <w:ilvl w:val="0"/>
          <w:numId w:val="0"/>
        </w:numPr>
        <w:ind w:left="420" w:leftChars="200" w:firstLine="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1.针对部分评标办法含系数抽取的项目，开标结束后会有直播现场摇号抽取，在线录入抽取系数环节；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2.主持人必须开启直播视频；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3.主持人需仔细确认输入的数字和现场摇号的结果是否一致，一旦录入将无法修改；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系数</w:t>
      </w:r>
      <w:r>
        <w:rPr>
          <w:rFonts w:hint="eastAsia"/>
          <w:bCs/>
          <w:lang w:val="en-US" w:eastAsia="zh-CN"/>
        </w:rPr>
        <w:t>录入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开标结束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9"/>
        </w:numPr>
        <w:ind w:firstLineChars="0"/>
      </w:pPr>
      <w:r>
        <w:rPr>
          <w:rFonts w:hint="eastAsia"/>
        </w:rPr>
        <w:t>在开标现场规定位置进行摇号抽取系数，并在摄像投下清楚展示出抽取的系数。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将抽取出的系数录入系统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39385" cy="3085465"/>
            <wp:effectExtent l="0" t="0" r="18415" b="635"/>
            <wp:docPr id="7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308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pStyle w:val="3"/>
      </w:pPr>
      <w:bookmarkStart w:id="69" w:name="_Toc1600"/>
      <w:bookmarkStart w:id="70" w:name="_Toc11632"/>
      <w:r>
        <w:rPr>
          <w:rFonts w:hint="eastAsia"/>
        </w:rPr>
        <w:t>异议</w:t>
      </w:r>
      <w:bookmarkEnd w:id="69"/>
      <w:bookmarkEnd w:id="70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投标人在开标过程中可以通过文字提问给主持人提问，主持人回答</w:t>
      </w:r>
      <w:r>
        <w:rPr>
          <w:bCs/>
        </w:rPr>
        <w:t>。</w:t>
      </w:r>
    </w:p>
    <w:p>
      <w:pPr>
        <w:ind w:firstLine="422"/>
        <w:rPr>
          <w:bCs/>
        </w:rPr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公布投标人之后</w:t>
      </w:r>
      <w:r>
        <w:rPr>
          <w:bCs/>
        </w:rP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0"/>
        </w:numPr>
        <w:ind w:firstLine="420" w:firstLineChars="200"/>
      </w:pPr>
      <w:r>
        <w:rPr>
          <w:rFonts w:hint="eastAsia"/>
        </w:rPr>
        <w:t>投标人发起异议之后，</w:t>
      </w:r>
      <w:r>
        <w:rPr>
          <w:rFonts w:hint="eastAsia"/>
          <w:lang w:val="en-US" w:eastAsia="zh-CN"/>
        </w:rPr>
        <w:t>右下角异议答复</w:t>
      </w:r>
      <w:r>
        <w:rPr>
          <w:rFonts w:hint="eastAsia"/>
        </w:rPr>
        <w:t>，点击可查看异议信息；</w:t>
      </w:r>
      <w:r>
        <w:rPr>
          <w:rFonts w:hint="eastAsia"/>
          <w:lang w:val="en-US" w:eastAsia="zh-CN"/>
        </w:rPr>
        <w:t>回复完成，可在已回复状态栏查看。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34940" cy="3056890"/>
            <wp:effectExtent l="0" t="0" r="3810" b="10160"/>
            <wp:docPr id="9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  <w:r>
        <w:drawing>
          <wp:inline distT="0" distB="0" distL="114300" distR="114300">
            <wp:extent cx="5243830" cy="3228975"/>
            <wp:effectExtent l="0" t="0" r="13970" b="952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</w:p>
    <w:p>
      <w:pPr>
        <w:numPr>
          <w:ilvl w:val="0"/>
          <w:numId w:val="0"/>
        </w:numPr>
        <w:rPr>
          <w:rFonts w:hint="eastAsia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843" w:header="454" w:footer="680" w:gutter="0"/>
      <w:pgNumType w:fmt="decimal" w:start="1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firstLine="360"/>
      <w:rPr>
        <w:lang w:val="zh-CN"/>
      </w:rPr>
    </w:pPr>
    <w:r>
      <w:rPr>
        <w:rFonts w:hint="eastAsia"/>
        <w:lang w:val="zh-CN"/>
      </w:rPr>
      <w:t xml:space="preserve">江苏国泰新点软件有限公司0512-58188000 </w: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BVT6jz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tabs>
        <w:tab w:val="left" w:pos="5524"/>
      </w:tabs>
      <w:ind w:firstLine="360"/>
      <w:jc w:val="left"/>
      <w:rPr>
        <w:rFonts w:hint="eastAsia" w:eastAsia="宋体"/>
        <w:lang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4" name="文本框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DXjstz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eastAsia="zh-CN"/>
      </w:rPr>
      <w:tab/>
      <w:t/>
    </w:r>
    <w:r>
      <w:rPr>
        <w:rFonts w:hint="eastAsia"/>
        <w:lang w:eastAsia="zh-CN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  <w:rPr>
        <w:color w:val="000000"/>
      </w:rPr>
    </w:pPr>
    <w:r>
      <w:rPr>
        <w:rFonts w:ascii="宋体" w:hAnsi="宋体"/>
      </w:rPr>
      <w:drawing>
        <wp:inline distT="0" distB="0" distL="114300" distR="114300">
          <wp:extent cx="600075" cy="304800"/>
          <wp:effectExtent l="0" t="0" r="9525" b="0"/>
          <wp:docPr id="43" name="图片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图片 5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0075" cy="30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Cambria" w:hAnsi="Cambria"/>
      </w:rPr>
      <w:t xml:space="preserve">操作手册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E14EF26"/>
    <w:multiLevelType w:val="singleLevel"/>
    <w:tmpl w:val="BE14EF26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C3D70D57"/>
    <w:multiLevelType w:val="singleLevel"/>
    <w:tmpl w:val="C3D70D57"/>
    <w:lvl w:ilvl="0" w:tentative="0">
      <w:start w:val="1"/>
      <w:numFmt w:val="decimal"/>
      <w:suff w:val="space"/>
      <w:lvlText w:val="%1、"/>
      <w:lvlJc w:val="left"/>
    </w:lvl>
  </w:abstractNum>
  <w:abstractNum w:abstractNumId="3">
    <w:nsid w:val="D75E355F"/>
    <w:multiLevelType w:val="singleLevel"/>
    <w:tmpl w:val="D75E355F"/>
    <w:lvl w:ilvl="0" w:tentative="0">
      <w:start w:val="1"/>
      <w:numFmt w:val="decimal"/>
      <w:suff w:val="space"/>
      <w:lvlText w:val="%1、"/>
      <w:lvlJc w:val="left"/>
    </w:lvl>
  </w:abstractNum>
  <w:abstractNum w:abstractNumId="4">
    <w:nsid w:val="01C6927D"/>
    <w:multiLevelType w:val="singleLevel"/>
    <w:tmpl w:val="01C6927D"/>
    <w:lvl w:ilvl="0" w:tentative="0">
      <w:start w:val="1"/>
      <w:numFmt w:val="decimal"/>
      <w:suff w:val="space"/>
      <w:lvlText w:val="%1、"/>
      <w:lvlJc w:val="left"/>
    </w:lvl>
  </w:abstractNum>
  <w:abstractNum w:abstractNumId="5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abstractNum w:abstractNumId="6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7">
    <w:nsid w:val="68EE3402"/>
    <w:multiLevelType w:val="multilevel"/>
    <w:tmpl w:val="68EE3402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6D862B00"/>
    <w:multiLevelType w:val="singleLevel"/>
    <w:tmpl w:val="6D862B0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1"/>
  </w:num>
  <w:num w:numId="3">
    <w:abstractNumId w:val="8"/>
  </w:num>
  <w:num w:numId="4">
    <w:abstractNumId w:val="0"/>
  </w:num>
  <w:num w:numId="5">
    <w:abstractNumId w:val="2"/>
  </w:num>
  <w:num w:numId="6">
    <w:abstractNumId w:val="3"/>
  </w:num>
  <w:num w:numId="7">
    <w:abstractNumId w:val="5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NotTrackMoves/>
  <w:documentProtection w:enforcement="0"/>
  <w:defaultTabStop w:val="50"/>
  <w:drawingGridHorizontalSpacing w:val="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NkZTI5YmM1ZTQzNTBjNDFiMTg0ZmEyMjk0MjYzMmUifQ=="/>
  </w:docVars>
  <w:rsids>
    <w:rsidRoot w:val="007405F0"/>
    <w:rsid w:val="00043FEA"/>
    <w:rsid w:val="00260726"/>
    <w:rsid w:val="0032495E"/>
    <w:rsid w:val="00362EBF"/>
    <w:rsid w:val="00546561"/>
    <w:rsid w:val="00557842"/>
    <w:rsid w:val="00570D64"/>
    <w:rsid w:val="005A459E"/>
    <w:rsid w:val="005E2B5F"/>
    <w:rsid w:val="006675A9"/>
    <w:rsid w:val="006B060D"/>
    <w:rsid w:val="006C0E3E"/>
    <w:rsid w:val="007405F0"/>
    <w:rsid w:val="007A1033"/>
    <w:rsid w:val="009002F7"/>
    <w:rsid w:val="0091791F"/>
    <w:rsid w:val="00A367AF"/>
    <w:rsid w:val="00B55F64"/>
    <w:rsid w:val="00B734BE"/>
    <w:rsid w:val="00B819F6"/>
    <w:rsid w:val="00CA73A0"/>
    <w:rsid w:val="00CC6939"/>
    <w:rsid w:val="00CD7EB6"/>
    <w:rsid w:val="00DC406A"/>
    <w:rsid w:val="00FE342E"/>
    <w:rsid w:val="01501D76"/>
    <w:rsid w:val="03050292"/>
    <w:rsid w:val="03406500"/>
    <w:rsid w:val="03B2479A"/>
    <w:rsid w:val="03E62F94"/>
    <w:rsid w:val="042260E1"/>
    <w:rsid w:val="04927028"/>
    <w:rsid w:val="05465F5F"/>
    <w:rsid w:val="05955A20"/>
    <w:rsid w:val="05DE3AA7"/>
    <w:rsid w:val="084A1DD2"/>
    <w:rsid w:val="084C4255"/>
    <w:rsid w:val="08E27D6A"/>
    <w:rsid w:val="08E90BB4"/>
    <w:rsid w:val="093023EA"/>
    <w:rsid w:val="09BB007A"/>
    <w:rsid w:val="0A314FA6"/>
    <w:rsid w:val="0A321F79"/>
    <w:rsid w:val="0A7B623C"/>
    <w:rsid w:val="0A7D3353"/>
    <w:rsid w:val="0AC111A5"/>
    <w:rsid w:val="0B8003DA"/>
    <w:rsid w:val="0CAF5FEF"/>
    <w:rsid w:val="0DAA67E0"/>
    <w:rsid w:val="0EB43ECA"/>
    <w:rsid w:val="0FA57E31"/>
    <w:rsid w:val="106C72A8"/>
    <w:rsid w:val="11622737"/>
    <w:rsid w:val="116A3832"/>
    <w:rsid w:val="11765F75"/>
    <w:rsid w:val="13B71BFB"/>
    <w:rsid w:val="13BF72E8"/>
    <w:rsid w:val="144D0D6A"/>
    <w:rsid w:val="15390ADE"/>
    <w:rsid w:val="153C6AB5"/>
    <w:rsid w:val="154934C9"/>
    <w:rsid w:val="156E27C7"/>
    <w:rsid w:val="176D2DE2"/>
    <w:rsid w:val="17C3657D"/>
    <w:rsid w:val="17DD67C8"/>
    <w:rsid w:val="185B6189"/>
    <w:rsid w:val="19FD7F67"/>
    <w:rsid w:val="1A827655"/>
    <w:rsid w:val="1C1F6FB6"/>
    <w:rsid w:val="1CAC0007"/>
    <w:rsid w:val="1CB02E44"/>
    <w:rsid w:val="1CC239AC"/>
    <w:rsid w:val="1D726CE7"/>
    <w:rsid w:val="1DDE529B"/>
    <w:rsid w:val="1DEF5EE3"/>
    <w:rsid w:val="1E7A4DF7"/>
    <w:rsid w:val="24965FC8"/>
    <w:rsid w:val="26253AEA"/>
    <w:rsid w:val="26CD4921"/>
    <w:rsid w:val="278358C9"/>
    <w:rsid w:val="27FD324E"/>
    <w:rsid w:val="28136541"/>
    <w:rsid w:val="286306AA"/>
    <w:rsid w:val="29C25B63"/>
    <w:rsid w:val="2A061B5F"/>
    <w:rsid w:val="2C896F9D"/>
    <w:rsid w:val="2CAB6D57"/>
    <w:rsid w:val="2D0F6111"/>
    <w:rsid w:val="2F097399"/>
    <w:rsid w:val="302F21CC"/>
    <w:rsid w:val="303E16CD"/>
    <w:rsid w:val="304A5464"/>
    <w:rsid w:val="308A3A5B"/>
    <w:rsid w:val="315849CF"/>
    <w:rsid w:val="32AD1AD9"/>
    <w:rsid w:val="34761B4A"/>
    <w:rsid w:val="366342BF"/>
    <w:rsid w:val="38886DCA"/>
    <w:rsid w:val="38C15E05"/>
    <w:rsid w:val="38F6484B"/>
    <w:rsid w:val="39A83DD5"/>
    <w:rsid w:val="3A15504C"/>
    <w:rsid w:val="3A5F1131"/>
    <w:rsid w:val="3B0009D7"/>
    <w:rsid w:val="3D3A70F6"/>
    <w:rsid w:val="3E3B66E2"/>
    <w:rsid w:val="40437F84"/>
    <w:rsid w:val="40D60A8C"/>
    <w:rsid w:val="40F12D92"/>
    <w:rsid w:val="41024195"/>
    <w:rsid w:val="419D3557"/>
    <w:rsid w:val="43570169"/>
    <w:rsid w:val="43D83A6A"/>
    <w:rsid w:val="450A3A5E"/>
    <w:rsid w:val="460005BB"/>
    <w:rsid w:val="47217935"/>
    <w:rsid w:val="478F1F05"/>
    <w:rsid w:val="48D845AE"/>
    <w:rsid w:val="49C67347"/>
    <w:rsid w:val="4A2B750B"/>
    <w:rsid w:val="4A9849C2"/>
    <w:rsid w:val="4AB06A05"/>
    <w:rsid w:val="4B3472F5"/>
    <w:rsid w:val="4BCC5890"/>
    <w:rsid w:val="4D150565"/>
    <w:rsid w:val="4D1E7E2B"/>
    <w:rsid w:val="4D3D1623"/>
    <w:rsid w:val="4E651D1A"/>
    <w:rsid w:val="4F3F1C24"/>
    <w:rsid w:val="4F96663D"/>
    <w:rsid w:val="52550A06"/>
    <w:rsid w:val="525C180F"/>
    <w:rsid w:val="52947701"/>
    <w:rsid w:val="529E4A1C"/>
    <w:rsid w:val="52DB12D4"/>
    <w:rsid w:val="53A96D99"/>
    <w:rsid w:val="53EE7DD8"/>
    <w:rsid w:val="548E68BE"/>
    <w:rsid w:val="54A45BCE"/>
    <w:rsid w:val="55937EDF"/>
    <w:rsid w:val="55A1633A"/>
    <w:rsid w:val="55C114F6"/>
    <w:rsid w:val="57345B4E"/>
    <w:rsid w:val="597E592B"/>
    <w:rsid w:val="5A5566F4"/>
    <w:rsid w:val="5D670002"/>
    <w:rsid w:val="5D846725"/>
    <w:rsid w:val="5DC05EB0"/>
    <w:rsid w:val="5DE12D0A"/>
    <w:rsid w:val="5E351DB9"/>
    <w:rsid w:val="5E797281"/>
    <w:rsid w:val="5F9D56AB"/>
    <w:rsid w:val="61104DB0"/>
    <w:rsid w:val="612A5313"/>
    <w:rsid w:val="616001B6"/>
    <w:rsid w:val="617238AD"/>
    <w:rsid w:val="63D6320E"/>
    <w:rsid w:val="65125B3C"/>
    <w:rsid w:val="66544B56"/>
    <w:rsid w:val="66CF42EB"/>
    <w:rsid w:val="69343784"/>
    <w:rsid w:val="6BCC59CF"/>
    <w:rsid w:val="6BDD28AE"/>
    <w:rsid w:val="6CDF0597"/>
    <w:rsid w:val="6D1665CE"/>
    <w:rsid w:val="70500FE2"/>
    <w:rsid w:val="7155084F"/>
    <w:rsid w:val="71564DF2"/>
    <w:rsid w:val="71646722"/>
    <w:rsid w:val="729057D5"/>
    <w:rsid w:val="73E129E9"/>
    <w:rsid w:val="74C338E8"/>
    <w:rsid w:val="7598064C"/>
    <w:rsid w:val="762815E0"/>
    <w:rsid w:val="7650083A"/>
    <w:rsid w:val="76572DFC"/>
    <w:rsid w:val="76C164E2"/>
    <w:rsid w:val="77443FA1"/>
    <w:rsid w:val="77DD1D3F"/>
    <w:rsid w:val="77F04CC3"/>
    <w:rsid w:val="7869124F"/>
    <w:rsid w:val="7BA63112"/>
    <w:rsid w:val="7C863F44"/>
    <w:rsid w:val="7EDB44D5"/>
    <w:rsid w:val="7F245991"/>
    <w:rsid w:val="7F3E3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iPriority="99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2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6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7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6"/>
    <w:qFormat/>
    <w:uiPriority w:val="0"/>
    <w:pPr>
      <w:keepNext/>
      <w:keepLines/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5"/>
    <w:qFormat/>
    <w:uiPriority w:val="0"/>
    <w:pPr>
      <w:keepNext/>
      <w:keepLines/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7"/>
    <w:autoRedefine/>
    <w:qFormat/>
    <w:uiPriority w:val="0"/>
    <w:p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9"/>
    <w:autoRedefine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90"/>
    <w:autoRedefine/>
    <w:qFormat/>
    <w:uiPriority w:val="0"/>
    <w:pPr>
      <w:outlineLvl w:val="7"/>
    </w:pPr>
  </w:style>
  <w:style w:type="paragraph" w:styleId="10">
    <w:name w:val="heading 9"/>
    <w:basedOn w:val="9"/>
    <w:next w:val="1"/>
    <w:link w:val="92"/>
    <w:autoRedefine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autoRedefine/>
    <w:semiHidden/>
    <w:unhideWhenUsed/>
    <w:qFormat/>
    <w:uiPriority w:val="1"/>
  </w:style>
  <w:style w:type="table" w:default="1" w:styleId="4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autoRedefine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8"/>
    <w:autoRedefine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100"/>
    <w:autoRedefine/>
    <w:qFormat/>
    <w:uiPriority w:val="0"/>
  </w:style>
  <w:style w:type="paragraph" w:styleId="16">
    <w:name w:val="Body Text 3"/>
    <w:basedOn w:val="1"/>
    <w:link w:val="110"/>
    <w:autoRedefine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4"/>
    <w:autoRedefine/>
    <w:qFormat/>
    <w:uiPriority w:val="0"/>
    <w:pPr>
      <w:spacing w:after="120"/>
    </w:pPr>
  </w:style>
  <w:style w:type="paragraph" w:styleId="18">
    <w:name w:val="Body Text Indent"/>
    <w:basedOn w:val="1"/>
    <w:link w:val="94"/>
    <w:autoRedefine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autoRedefine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autoRedefine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5"/>
    <w:autoRedefine/>
    <w:qFormat/>
    <w:uiPriority w:val="0"/>
    <w:rPr>
      <w:rFonts w:ascii="宋体" w:hAnsi="Courier New"/>
    </w:rPr>
  </w:style>
  <w:style w:type="paragraph" w:styleId="22">
    <w:name w:val="toc 8"/>
    <w:basedOn w:val="1"/>
    <w:next w:val="1"/>
    <w:autoRedefine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3"/>
    <w:autoRedefine/>
    <w:qFormat/>
    <w:uiPriority w:val="0"/>
    <w:pPr>
      <w:ind w:left="100" w:leftChars="2500"/>
    </w:pPr>
  </w:style>
  <w:style w:type="paragraph" w:styleId="24">
    <w:name w:val="Body Text Indent 2"/>
    <w:basedOn w:val="1"/>
    <w:link w:val="91"/>
    <w:autoRedefine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9"/>
    <w:qFormat/>
    <w:uiPriority w:val="0"/>
    <w:rPr>
      <w:sz w:val="18"/>
      <w:szCs w:val="18"/>
    </w:rPr>
  </w:style>
  <w:style w:type="paragraph" w:styleId="26">
    <w:name w:val="footer"/>
    <w:basedOn w:val="1"/>
    <w:link w:val="98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6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autoRedefine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autoRedefine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7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autoRedefine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1"/>
    <w:qFormat/>
    <w:uiPriority w:val="0"/>
    <w:pPr>
      <w:spacing w:after="120" w:line="480" w:lineRule="auto"/>
    </w:pPr>
  </w:style>
  <w:style w:type="paragraph" w:styleId="37">
    <w:name w:val="Normal (Web)"/>
    <w:basedOn w:val="1"/>
    <w:autoRedefine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8"/>
    <w:autoRedefine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9">
    <w:name w:val="annotation subject"/>
    <w:basedOn w:val="15"/>
    <w:next w:val="15"/>
    <w:link w:val="129"/>
    <w:semiHidden/>
    <w:unhideWhenUsed/>
    <w:qFormat/>
    <w:uiPriority w:val="0"/>
    <w:rPr>
      <w:b/>
      <w:bCs/>
    </w:rPr>
  </w:style>
  <w:style w:type="paragraph" w:styleId="40">
    <w:name w:val="Body Text First Indent"/>
    <w:basedOn w:val="17"/>
    <w:link w:val="103"/>
    <w:autoRedefine/>
    <w:qFormat/>
    <w:uiPriority w:val="0"/>
    <w:pPr>
      <w:ind w:firstLine="100" w:firstLineChars="100"/>
    </w:pPr>
  </w:style>
  <w:style w:type="character" w:styleId="43">
    <w:name w:val="Strong"/>
    <w:autoRedefine/>
    <w:qFormat/>
    <w:uiPriority w:val="0"/>
    <w:rPr>
      <w:b/>
      <w:bCs/>
    </w:rPr>
  </w:style>
  <w:style w:type="character" w:styleId="44">
    <w:name w:val="page number"/>
    <w:basedOn w:val="42"/>
    <w:qFormat/>
    <w:uiPriority w:val="0"/>
  </w:style>
  <w:style w:type="character" w:styleId="45">
    <w:name w:val="FollowedHyperlink"/>
    <w:autoRedefine/>
    <w:qFormat/>
    <w:uiPriority w:val="0"/>
    <w:rPr>
      <w:color w:val="800080"/>
      <w:u w:val="single"/>
    </w:rPr>
  </w:style>
  <w:style w:type="character" w:styleId="46">
    <w:name w:val="Hyperlink"/>
    <w:autoRedefine/>
    <w:qFormat/>
    <w:uiPriority w:val="99"/>
    <w:rPr>
      <w:color w:val="0000FF"/>
      <w:u w:val="single"/>
    </w:rPr>
  </w:style>
  <w:style w:type="character" w:styleId="47">
    <w:name w:val="annotation reference"/>
    <w:qFormat/>
    <w:uiPriority w:val="0"/>
    <w:rPr>
      <w:sz w:val="21"/>
      <w:szCs w:val="21"/>
    </w:rPr>
  </w:style>
  <w:style w:type="paragraph" w:customStyle="1" w:styleId="48">
    <w:name w:val="xl29"/>
    <w:basedOn w:val="1"/>
    <w:autoRedefine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autoRedefine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autoRedefine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autoRedefine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autoRedefine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autoRedefine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autoRedefine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autoRedefine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link w:val="130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autoRedefine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autoRedefine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autoRedefine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autoRedefine/>
    <w:qFormat/>
    <w:uiPriority w:val="34"/>
  </w:style>
  <w:style w:type="paragraph" w:customStyle="1" w:styleId="64">
    <w:name w:val="paragraphindent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9"/>
    <w:autoRedefine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autoRedefine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5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6"/>
    <w:autoRedefine/>
    <w:qFormat/>
    <w:uiPriority w:val="0"/>
    <w:pPr>
      <w:ind w:firstLine="360"/>
    </w:pPr>
  </w:style>
  <w:style w:type="paragraph" w:customStyle="1" w:styleId="70">
    <w:name w:val="样式4"/>
    <w:basedOn w:val="69"/>
    <w:link w:val="117"/>
    <w:autoRedefine/>
    <w:qFormat/>
    <w:uiPriority w:val="0"/>
  </w:style>
  <w:style w:type="paragraph" w:customStyle="1" w:styleId="71">
    <w:name w:val="样式5"/>
    <w:basedOn w:val="27"/>
    <w:link w:val="118"/>
    <w:autoRedefine/>
    <w:qFormat/>
    <w:uiPriority w:val="0"/>
    <w:pPr>
      <w:ind w:firstLine="360"/>
    </w:pPr>
  </w:style>
  <w:style w:type="paragraph" w:customStyle="1" w:styleId="72">
    <w:name w:val="样式6"/>
    <w:basedOn w:val="27"/>
    <w:link w:val="119"/>
    <w:qFormat/>
    <w:uiPriority w:val="0"/>
    <w:pPr>
      <w:ind w:firstLine="360"/>
    </w:pPr>
  </w:style>
  <w:style w:type="paragraph" w:customStyle="1" w:styleId="73">
    <w:name w:val="样式7"/>
    <w:basedOn w:val="4"/>
    <w:link w:val="120"/>
    <w:autoRedefine/>
    <w:qFormat/>
    <w:uiPriority w:val="0"/>
  </w:style>
  <w:style w:type="paragraph" w:customStyle="1" w:styleId="74">
    <w:name w:val="样式8"/>
    <w:basedOn w:val="26"/>
    <w:link w:val="121"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2"/>
    <w:autoRedefine/>
    <w:qFormat/>
    <w:uiPriority w:val="0"/>
    <w:pPr>
      <w:jc w:val="center"/>
    </w:pPr>
  </w:style>
  <w:style w:type="paragraph" w:customStyle="1" w:styleId="76">
    <w:name w:val="样式10"/>
    <w:basedOn w:val="75"/>
    <w:link w:val="123"/>
    <w:autoRedefine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4"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5"/>
    <w:qFormat/>
    <w:uiPriority w:val="0"/>
  </w:style>
  <w:style w:type="paragraph" w:customStyle="1" w:styleId="79">
    <w:name w:val="样式13"/>
    <w:basedOn w:val="73"/>
    <w:link w:val="126"/>
    <w:qFormat/>
    <w:uiPriority w:val="0"/>
  </w:style>
  <w:style w:type="paragraph" w:customStyle="1" w:styleId="80">
    <w:name w:val="2"/>
    <w:basedOn w:val="1"/>
    <w:link w:val="127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8"/>
    <w:autoRedefine/>
    <w:qFormat/>
    <w:uiPriority w:val="0"/>
    <w:pPr>
      <w:ind w:firstLine="0" w:firstLineChars="0"/>
    </w:pPr>
  </w:style>
  <w:style w:type="paragraph" w:customStyle="1" w:styleId="82">
    <w:name w:val="飞越型"/>
    <w:autoRedefine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autoRedefine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84">
    <w:name w:val="列出段落2"/>
    <w:basedOn w:val="1"/>
    <w:autoRedefine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85">
    <w:name w:val="标题 5 Char"/>
    <w:link w:val="6"/>
    <w:qFormat/>
    <w:uiPriority w:val="0"/>
    <w:rPr>
      <w:b/>
      <w:bCs/>
      <w:kern w:val="2"/>
      <w:sz w:val="28"/>
      <w:szCs w:val="28"/>
    </w:rPr>
  </w:style>
  <w:style w:type="character" w:customStyle="1" w:styleId="86">
    <w:name w:val="页眉 Char"/>
    <w:link w:val="27"/>
    <w:autoRedefine/>
    <w:qFormat/>
    <w:uiPriority w:val="99"/>
    <w:rPr>
      <w:kern w:val="2"/>
      <w:sz w:val="18"/>
      <w:szCs w:val="18"/>
    </w:rPr>
  </w:style>
  <w:style w:type="character" w:customStyle="1" w:styleId="87">
    <w:name w:val="标题 6 Char"/>
    <w:link w:val="7"/>
    <w:qFormat/>
    <w:uiPriority w:val="0"/>
    <w:rPr>
      <w:b/>
      <w:bCs/>
      <w:kern w:val="2"/>
      <w:sz w:val="30"/>
      <w:szCs w:val="18"/>
    </w:rPr>
  </w:style>
  <w:style w:type="character" w:customStyle="1" w:styleId="88">
    <w:name w:val="标题 Char"/>
    <w:link w:val="38"/>
    <w:autoRedefine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9">
    <w:name w:val="标题 7 Char"/>
    <w:link w:val="8"/>
    <w:qFormat/>
    <w:uiPriority w:val="0"/>
    <w:rPr>
      <w:b/>
      <w:bCs/>
      <w:kern w:val="2"/>
      <w:sz w:val="30"/>
      <w:szCs w:val="18"/>
    </w:rPr>
  </w:style>
  <w:style w:type="character" w:customStyle="1" w:styleId="90">
    <w:name w:val="标题 8 Char"/>
    <w:link w:val="9"/>
    <w:qFormat/>
    <w:uiPriority w:val="0"/>
    <w:rPr>
      <w:b/>
      <w:bCs/>
      <w:kern w:val="2"/>
      <w:sz w:val="30"/>
      <w:szCs w:val="18"/>
    </w:rPr>
  </w:style>
  <w:style w:type="character" w:customStyle="1" w:styleId="91">
    <w:name w:val="正文文本缩进 2 Char"/>
    <w:link w:val="24"/>
    <w:qFormat/>
    <w:uiPriority w:val="0"/>
    <w:rPr>
      <w:kern w:val="2"/>
      <w:sz w:val="21"/>
      <w:szCs w:val="24"/>
    </w:rPr>
  </w:style>
  <w:style w:type="character" w:customStyle="1" w:styleId="92">
    <w:name w:val="标题 9 Char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3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4">
    <w:name w:val="正文文本缩进 Char"/>
    <w:link w:val="18"/>
    <w:qFormat/>
    <w:uiPriority w:val="0"/>
    <w:rPr>
      <w:kern w:val="2"/>
      <w:sz w:val="21"/>
      <w:szCs w:val="24"/>
    </w:rPr>
  </w:style>
  <w:style w:type="character" w:customStyle="1" w:styleId="95">
    <w:name w:val="纯文本 Char"/>
    <w:link w:val="21"/>
    <w:autoRedefine/>
    <w:qFormat/>
    <w:uiPriority w:val="0"/>
    <w:rPr>
      <w:rFonts w:ascii="宋体" w:hAnsi="Courier New"/>
      <w:kern w:val="2"/>
      <w:sz w:val="21"/>
    </w:rPr>
  </w:style>
  <w:style w:type="character" w:customStyle="1" w:styleId="96">
    <w:name w:val="标题 2 Char"/>
    <w:link w:val="3"/>
    <w:qFormat/>
    <w:uiPriority w:val="0"/>
    <w:rPr>
      <w:b/>
      <w:bCs/>
      <w:kern w:val="2"/>
      <w:sz w:val="30"/>
      <w:szCs w:val="32"/>
    </w:rPr>
  </w:style>
  <w:style w:type="character" w:customStyle="1" w:styleId="97">
    <w:name w:val="标题 3 Char"/>
    <w:link w:val="4"/>
    <w:autoRedefine/>
    <w:qFormat/>
    <w:uiPriority w:val="0"/>
    <w:rPr>
      <w:b/>
      <w:bCs/>
      <w:kern w:val="2"/>
      <w:sz w:val="28"/>
      <w:szCs w:val="18"/>
    </w:rPr>
  </w:style>
  <w:style w:type="character" w:customStyle="1" w:styleId="98">
    <w:name w:val="页脚 Char"/>
    <w:link w:val="26"/>
    <w:autoRedefine/>
    <w:qFormat/>
    <w:uiPriority w:val="99"/>
    <w:rPr>
      <w:kern w:val="2"/>
      <w:sz w:val="18"/>
      <w:szCs w:val="18"/>
    </w:rPr>
  </w:style>
  <w:style w:type="character" w:customStyle="1" w:styleId="99">
    <w:name w:val="批注框文本 Char"/>
    <w:link w:val="25"/>
    <w:autoRedefine/>
    <w:qFormat/>
    <w:uiPriority w:val="0"/>
    <w:rPr>
      <w:kern w:val="2"/>
      <w:sz w:val="18"/>
      <w:szCs w:val="18"/>
    </w:rPr>
  </w:style>
  <w:style w:type="character" w:customStyle="1" w:styleId="100">
    <w:name w:val="批注文字 Char"/>
    <w:link w:val="15"/>
    <w:autoRedefine/>
    <w:qFormat/>
    <w:uiPriority w:val="0"/>
    <w:rPr>
      <w:kern w:val="2"/>
      <w:sz w:val="21"/>
      <w:szCs w:val="24"/>
    </w:rPr>
  </w:style>
  <w:style w:type="character" w:customStyle="1" w:styleId="101">
    <w:name w:val="14_black1"/>
    <w:autoRedefine/>
    <w:qFormat/>
    <w:uiPriority w:val="0"/>
    <w:rPr>
      <w:color w:val="000000"/>
      <w:sz w:val="23"/>
      <w:szCs w:val="23"/>
    </w:rPr>
  </w:style>
  <w:style w:type="character" w:customStyle="1" w:styleId="102">
    <w:name w:val="标题 1 Char"/>
    <w:link w:val="2"/>
    <w:autoRedefine/>
    <w:qFormat/>
    <w:uiPriority w:val="0"/>
    <w:rPr>
      <w:b/>
      <w:bCs/>
      <w:kern w:val="44"/>
      <w:sz w:val="32"/>
      <w:szCs w:val="28"/>
    </w:rPr>
  </w:style>
  <w:style w:type="character" w:customStyle="1" w:styleId="103">
    <w:name w:val="正文首行缩进 Char"/>
    <w:link w:val="40"/>
    <w:autoRedefine/>
    <w:qFormat/>
    <w:uiPriority w:val="0"/>
    <w:rPr>
      <w:kern w:val="2"/>
      <w:sz w:val="21"/>
      <w:szCs w:val="24"/>
    </w:rPr>
  </w:style>
  <w:style w:type="character" w:customStyle="1" w:styleId="104">
    <w:name w:val="正文文本 Char"/>
    <w:link w:val="17"/>
    <w:autoRedefine/>
    <w:qFormat/>
    <w:uiPriority w:val="0"/>
    <w:rPr>
      <w:kern w:val="2"/>
      <w:sz w:val="21"/>
      <w:szCs w:val="24"/>
    </w:rPr>
  </w:style>
  <w:style w:type="character" w:customStyle="1" w:styleId="105">
    <w:name w:val="f141"/>
    <w:autoRedefine/>
    <w:qFormat/>
    <w:uiPriority w:val="0"/>
    <w:rPr>
      <w:sz w:val="21"/>
      <w:szCs w:val="21"/>
    </w:rPr>
  </w:style>
  <w:style w:type="character" w:customStyle="1" w:styleId="106">
    <w:name w:val="标题 4 Char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7">
    <w:name w:val="正文文本缩进 3 Char"/>
    <w:link w:val="33"/>
    <w:qFormat/>
    <w:uiPriority w:val="0"/>
    <w:rPr>
      <w:kern w:val="2"/>
      <w:sz w:val="16"/>
      <w:szCs w:val="16"/>
    </w:rPr>
  </w:style>
  <w:style w:type="character" w:customStyle="1" w:styleId="108">
    <w:name w:val="文档结构图 Char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9">
    <w:name w:val="FA正文 Char"/>
    <w:link w:val="65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10">
    <w:name w:val="正文文本 3 Char"/>
    <w:link w:val="16"/>
    <w:qFormat/>
    <w:uiPriority w:val="0"/>
    <w:rPr>
      <w:kern w:val="2"/>
      <w:sz w:val="16"/>
      <w:szCs w:val="16"/>
    </w:rPr>
  </w:style>
  <w:style w:type="character" w:customStyle="1" w:styleId="111">
    <w:name w:val="正文文本 2 Char"/>
    <w:link w:val="36"/>
    <w:qFormat/>
    <w:uiPriority w:val="0"/>
    <w:rPr>
      <w:kern w:val="2"/>
      <w:sz w:val="21"/>
      <w:szCs w:val="24"/>
    </w:rPr>
  </w:style>
  <w:style w:type="character" w:customStyle="1" w:styleId="112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3">
    <w:name w:val="日期 Char"/>
    <w:link w:val="23"/>
    <w:qFormat/>
    <w:uiPriority w:val="0"/>
    <w:rPr>
      <w:kern w:val="2"/>
      <w:sz w:val="21"/>
      <w:szCs w:val="24"/>
    </w:rPr>
  </w:style>
  <w:style w:type="character" w:customStyle="1" w:styleId="114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5">
    <w:name w:val="样式2 Char"/>
    <w:link w:val="68"/>
    <w:autoRedefine/>
    <w:qFormat/>
    <w:uiPriority w:val="0"/>
    <w:rPr>
      <w:b/>
      <w:kern w:val="2"/>
      <w:sz w:val="30"/>
      <w:szCs w:val="24"/>
    </w:rPr>
  </w:style>
  <w:style w:type="character" w:customStyle="1" w:styleId="116">
    <w:name w:val="样式3 Char"/>
    <w:link w:val="69"/>
    <w:autoRedefine/>
    <w:qFormat/>
    <w:uiPriority w:val="0"/>
    <w:rPr>
      <w:kern w:val="2"/>
      <w:sz w:val="18"/>
      <w:szCs w:val="18"/>
    </w:rPr>
  </w:style>
  <w:style w:type="character" w:customStyle="1" w:styleId="117">
    <w:name w:val="样式4 Char1"/>
    <w:link w:val="70"/>
    <w:autoRedefine/>
    <w:qFormat/>
    <w:uiPriority w:val="0"/>
    <w:rPr>
      <w:kern w:val="2"/>
      <w:sz w:val="18"/>
      <w:szCs w:val="18"/>
    </w:rPr>
  </w:style>
  <w:style w:type="character" w:customStyle="1" w:styleId="118">
    <w:name w:val="样式5 Char"/>
    <w:link w:val="71"/>
    <w:autoRedefine/>
    <w:qFormat/>
    <w:uiPriority w:val="0"/>
    <w:rPr>
      <w:kern w:val="2"/>
      <w:sz w:val="18"/>
      <w:szCs w:val="18"/>
    </w:rPr>
  </w:style>
  <w:style w:type="character" w:customStyle="1" w:styleId="119">
    <w:name w:val="样式6 Char"/>
    <w:link w:val="72"/>
    <w:autoRedefine/>
    <w:qFormat/>
    <w:uiPriority w:val="0"/>
    <w:rPr>
      <w:kern w:val="2"/>
      <w:sz w:val="18"/>
      <w:szCs w:val="18"/>
    </w:rPr>
  </w:style>
  <w:style w:type="character" w:customStyle="1" w:styleId="120">
    <w:name w:val="样式7 Char"/>
    <w:link w:val="73"/>
    <w:autoRedefine/>
    <w:qFormat/>
    <w:uiPriority w:val="0"/>
    <w:rPr>
      <w:b/>
      <w:bCs/>
      <w:kern w:val="2"/>
      <w:sz w:val="28"/>
      <w:szCs w:val="18"/>
    </w:rPr>
  </w:style>
  <w:style w:type="character" w:customStyle="1" w:styleId="121">
    <w:name w:val="样式8 Char"/>
    <w:link w:val="74"/>
    <w:autoRedefine/>
    <w:qFormat/>
    <w:uiPriority w:val="0"/>
    <w:rPr>
      <w:kern w:val="2"/>
      <w:sz w:val="18"/>
      <w:szCs w:val="18"/>
    </w:rPr>
  </w:style>
  <w:style w:type="character" w:customStyle="1" w:styleId="122">
    <w:name w:val="样式9 Char"/>
    <w:link w:val="75"/>
    <w:autoRedefine/>
    <w:qFormat/>
    <w:uiPriority w:val="0"/>
    <w:rPr>
      <w:kern w:val="2"/>
      <w:sz w:val="18"/>
      <w:szCs w:val="18"/>
    </w:rPr>
  </w:style>
  <w:style w:type="character" w:customStyle="1" w:styleId="123">
    <w:name w:val="样式10 Char"/>
    <w:link w:val="76"/>
    <w:autoRedefine/>
    <w:qFormat/>
    <w:uiPriority w:val="0"/>
    <w:rPr>
      <w:kern w:val="2"/>
      <w:sz w:val="18"/>
      <w:szCs w:val="18"/>
    </w:rPr>
  </w:style>
  <w:style w:type="character" w:customStyle="1" w:styleId="124">
    <w:name w:val="样式11 Char"/>
    <w:link w:val="77"/>
    <w:autoRedefine/>
    <w:qFormat/>
    <w:uiPriority w:val="0"/>
    <w:rPr>
      <w:kern w:val="2"/>
      <w:sz w:val="18"/>
      <w:szCs w:val="18"/>
    </w:rPr>
  </w:style>
  <w:style w:type="character" w:customStyle="1" w:styleId="125">
    <w:name w:val="样式12 Char"/>
    <w:link w:val="78"/>
    <w:autoRedefine/>
    <w:qFormat/>
    <w:uiPriority w:val="0"/>
    <w:rPr>
      <w:kern w:val="2"/>
      <w:sz w:val="18"/>
      <w:szCs w:val="18"/>
    </w:rPr>
  </w:style>
  <w:style w:type="character" w:customStyle="1" w:styleId="126">
    <w:name w:val="样式13 Char"/>
    <w:link w:val="79"/>
    <w:autoRedefine/>
    <w:qFormat/>
    <w:uiPriority w:val="0"/>
    <w:rPr>
      <w:b/>
      <w:bCs/>
      <w:kern w:val="2"/>
      <w:sz w:val="28"/>
      <w:szCs w:val="18"/>
    </w:rPr>
  </w:style>
  <w:style w:type="character" w:customStyle="1" w:styleId="127">
    <w:name w:val="2 Char"/>
    <w:link w:val="80"/>
    <w:autoRedefine/>
    <w:qFormat/>
    <w:uiPriority w:val="0"/>
    <w:rPr>
      <w:spacing w:val="4"/>
      <w:kern w:val="2"/>
      <w:sz w:val="21"/>
      <w:szCs w:val="24"/>
    </w:rPr>
  </w:style>
  <w:style w:type="character" w:customStyle="1" w:styleId="128">
    <w:name w:val="1 Char"/>
    <w:link w:val="81"/>
    <w:autoRedefine/>
    <w:qFormat/>
    <w:uiPriority w:val="0"/>
    <w:rPr>
      <w:kern w:val="2"/>
      <w:sz w:val="21"/>
      <w:szCs w:val="24"/>
    </w:rPr>
  </w:style>
  <w:style w:type="character" w:customStyle="1" w:styleId="129">
    <w:name w:val="批注主题 Char"/>
    <w:link w:val="39"/>
    <w:autoRedefine/>
    <w:semiHidden/>
    <w:qFormat/>
    <w:uiPriority w:val="0"/>
    <w:rPr>
      <w:b/>
      <w:bCs/>
      <w:kern w:val="2"/>
      <w:sz w:val="21"/>
      <w:szCs w:val="24"/>
    </w:rPr>
  </w:style>
  <w:style w:type="character" w:customStyle="1" w:styleId="130">
    <w:name w:val="样式1 Char"/>
    <w:link w:val="59"/>
    <w:autoRedefine/>
    <w:qFormat/>
    <w:uiPriority w:val="0"/>
    <w:rPr>
      <w:kern w:val="2"/>
      <w:sz w:val="24"/>
      <w:szCs w:val="24"/>
    </w:rPr>
  </w:style>
  <w:style w:type="paragraph" w:styleId="131">
    <w:name w:val="No Spacing"/>
    <w:autoRedefine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2" Type="http://schemas.openxmlformats.org/officeDocument/2006/relationships/fontTable" Target="fontTable.xml"/><Relationship Id="rId51" Type="http://schemas.openxmlformats.org/officeDocument/2006/relationships/customXml" Target="../customXml/item2.xml"/><Relationship Id="rId50" Type="http://schemas.openxmlformats.org/officeDocument/2006/relationships/numbering" Target="numbering.xml"/><Relationship Id="rId5" Type="http://schemas.openxmlformats.org/officeDocument/2006/relationships/header" Target="header1.xml"/><Relationship Id="rId49" Type="http://schemas.openxmlformats.org/officeDocument/2006/relationships/customXml" Target="../customXml/item1.xml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jpe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F465C7-B6AF-4134-9F4C-48EC98946AF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53</Pages>
  <Words>1643</Words>
  <Characters>9370</Characters>
  <Lines>78</Lines>
  <Paragraphs>21</Paragraphs>
  <TotalTime>1</TotalTime>
  <ScaleCrop>false</ScaleCrop>
  <LinksUpToDate>false</LinksUpToDate>
  <CharactersWithSpaces>10992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2014-05-09T02:07:00Z</dcterms:created>
  <dc:creator>yuanxun</dc:creator>
  <cp:lastModifiedBy>agaric</cp:lastModifiedBy>
  <dcterms:modified xsi:type="dcterms:W3CDTF">2024-05-10T08:48:48Z</dcterms:modified>
  <dc:title>_x0001_</dc:title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E9CDDD99E24947C1A0806FE7BA0DE345_13</vt:lpwstr>
  </property>
</Properties>
</file>